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FFFFFF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5969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59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FFFFFF"/>
        </w:rPr>
        <w:t xml:space="preserve">Fizyczny ETP Bitcoin Fidelity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-304165</wp:posOffset>
            </wp:positionH>
            <wp:positionV relativeFrom="paragraph">
              <wp:posOffset>428625</wp:posOffset>
            </wp:positionV>
            <wp:extent cx="7560310" cy="8387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8387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111760" cy="36131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37"/>
          <w:szCs w:val="37"/>
          <w:b w:val="1"/>
          <w:bCs w:val="1"/>
          <w:color w:val="FFFFFF"/>
        </w:rPr>
        <w:t xml:space="preserve">Dokument zawierający kluczowe informacje</w: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111760" cy="2000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006193"/>
        </w:rPr>
        <w:t xml:space="preserve">Przeznaczenie</w:t>
      </w:r>
    </w:p>
    <w:p>
      <w:pPr>
        <w:spacing w:after="0" w:line="1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80"/>
        <w:spacing w:after="0" w:line="29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414956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414956"/>
        </w:rPr>
        <w:t xml:space="preserve"> Nie jest to materiał marketingowy.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414956"/>
        </w:rPr>
        <w:t xml:space="preserve"> Informacje te są wymagane przez prawo, aby pomóc Ci zrozumieć charakter, ryzyko, koszty, potencjalne zyski i straty tego produktu oraz aby pomóc Ci porównać go z innymi produktami.</w:t>
      </w:r>
    </w:p>
    <w:p>
      <w:pPr>
        <w:spacing w:after="0" w:line="14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006193"/>
        </w:rPr>
        <w:t xml:space="preserve">Produkt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B72F2A"/>
        </w:rPr>
        <w:t xml:space="preserve">Fizyczny ETP Bitcoin Fidelity</w:t>
      </w:r>
    </w:p>
    <w:p>
      <w:pPr>
        <w:sectPr>
          <w:pgSz w:w="11900" w:h="16838" w:orient="portrait"/>
          <w:cols w:equalWidth="0" w:num="1">
            <w:col w:w="10660"/>
          </w:cols>
          <w:pgMar w:left="480" w:top="80" w:right="766" w:bottom="0" w:gutter="0" w:footer="0" w:header="0"/>
        </w:sectPr>
      </w:pPr>
    </w:p>
    <w:p>
      <w:pPr>
        <w:spacing w:after="0" w:line="3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Fidelity Exchange Traded Products GmbH</w:t>
      </w:r>
    </w:p>
    <w:p>
      <w:pPr xmlns:w="http://schemas.openxmlformats.org/wordprocessingml/2006/main">
        <w:ind w:left="180"/>
        <w:spacing w:after="0" w:line="23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414956"/>
        </w:rPr>
        <w:t xml:space="preserve">NUMER ISIN: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XS2434891219</w:t>
      </w:r>
    </w:p>
    <w:p>
      <w:pPr xmlns:w="http://schemas.openxmlformats.org/wordprocessingml/2006/main">
        <w:ind w:left="1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414956"/>
        </w:rPr>
        <w:t xml:space="preserve">https://www.fidelityinternational.com/fidelity-physical-bitcoin-etp-legal-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dokumentacja/</w:t>
      </w:r>
    </w:p>
    <w:p>
      <w:pPr xmlns:w="http://schemas.openxmlformats.org/wordprocessingml/2006/main">
        <w:ind w:left="180"/>
        <w:spacing w:after="0" w:line="23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Aby uzyskać więcej informacji, zadzwoń pod numer +49 800 414 177.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2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Bundesanstalt für Finanzdienstleistungsaufsicht (BaFin) jest odpowiedzialny za nadzór nad Fidelity Exchange Traded Products GmbH w odniesieniu do tego dokumentu zawierającego kluczowe informacje.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Ten PRIIP jest autoryzowany w Niemczech.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3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Fidelity Exchange Traded Products GmbH jest zarejestrowana w Niemczech i regulowana przez Bundesanstalt für Finanzdienstleistungsaufsicht (BaFin).</w:t>
      </w:r>
    </w:p>
    <w:p>
      <w:pPr xmlns:w="http://schemas.openxmlformats.org/wordprocessingml/2006/main">
        <w:spacing w:after="0" w:line="23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414956"/>
        </w:rPr>
        <w:t xml:space="preserve">Data publikacji: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15/06/2023</w:t>
      </w:r>
    </w:p>
    <w:p>
      <w:pPr>
        <w:spacing w:after="0" w:line="7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5280" w:space="360"/>
            <w:col w:w="5020"/>
          </w:cols>
          <w:pgMar w:left="480" w:top="80" w:right="766" w:bottom="0" w:gutter="0" w:footer="0" w:header="0"/>
          <w:type w:val="continuous"/>
        </w:sectPr>
      </w:pPr>
    </w:p>
    <w:p>
      <w:pPr xmlns:w="http://schemas.openxmlformats.org/wordprocessingml/2006/main">
        <w:ind w:left="1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414956"/>
        </w:rPr>
        <w:t xml:space="preserve">Zamierzasz kupić produkt, który nie jest prosty i może być trudny do zrozumienia.</w:t>
      </w:r>
    </w:p>
    <w:p>
      <w:pPr>
        <w:sectPr>
          <w:pgSz w:w="11900" w:h="16838" w:orient="portrait"/>
          <w:cols w:equalWidth="0" w:num="1">
            <w:col w:w="10660"/>
          </w:cols>
          <w:pgMar w:left="480" w:top="80" w:right="766" w:bottom="0" w:gutter="0" w:footer="0" w:header="0"/>
          <w:type w:val="continuous"/>
        </w:sectPr>
      </w:pPr>
    </w:p>
    <w:p>
      <w:pPr>
        <w:spacing w:after="0" w:line="15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006193"/>
        </w:rPr>
        <w:t xml:space="preserve">Co to za produkt?</w:t>
      </w:r>
    </w:p>
    <w:p>
      <w:pPr>
        <w:spacing w:after="0" w:line="18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B72F2A"/>
        </w:rPr>
        <w:t xml:space="preserve">Typ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80" w:right="4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Ten produkt jest dłużnym papierem wartościowym w pełni zabezpieczonym przez Bitcoiny przechowywane w portfelu depozytariusza w celu przechowania.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Obligacja jest emitowana na okaziciela, nie oprocentowana i nie ma ustalonego terminu zapadalności.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Produkt podlega prawu niemieckiemu.</w:t>
      </w:r>
    </w:p>
    <w:p>
      <w:pPr>
        <w:spacing w:after="0" w:line="17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B72F2A"/>
        </w:rPr>
        <w:t xml:space="preserve">Termin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80" w:right="20"/>
        <w:spacing w:after="0" w:line="23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Niniejszy produkt nie ma ustalonego terminu, z zastrzeżeniem wykonania przez inwestora lub wypowiedzenia przez Emitenta.</w:t>
      </w:r>
    </w:p>
    <w:p>
      <w:pPr>
        <w:spacing w:after="0" w:line="17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B72F2A"/>
        </w:rPr>
        <w:t xml:space="preserve">Cele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80"/>
        <w:spacing w:after="0" w:line="26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414956"/>
        </w:rPr>
        <w:t xml:space="preserve">Fidelity Physical Bitcoin ETP to produkt będący przedmiotem obrotu giełdowego, którego celem jest zapewnienie inwestorom ekspozycji na kryptowalutę Bitcoin, a którego wyniki są bezpośrednio powiązane z ceną Bitcoin. Produkt jest w 100% zabezpieczony przez przechowywane zasoby Bitcoin, a wszelkie Bitcoiny otrzymane przez Emitenta w ramach subskrypcji przez Autoryzowanego Uczestnika ("AP") są przekazywane jako zabezpieczenie do portfela depozytariusza ("Portfel Depozytariusza"), który jest prowadzony przez Fidelity Digital Asset Services, LLC.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414956"/>
        </w:rPr>
        <w:t xml:space="preserve"> Prawo Debenture Trust Corporation p.l.c. zostało powołane jako powiernik bezpieczeństwa do przechowywania udziałów w Bitcoinie zdeponowanych jako zabezpieczenie na rzecz inwestorów. Każda jednostka odpowiada uprawnieniu ("Uprawnienie do kryptowaluty") 0.0001 Bitcoin.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414956"/>
        </w:rPr>
        <w:t xml:space="preserve"> Takie uprawnienia do kryptowalut zmniejszają się o 0.75% rocznie, obliczane codziennie od uprawnienia w całym okresie posiadania. Inwestorzy mogą kupić ten produkt za pośrednictwem punktów dostępu lub bezpośrednio na rynku wtórnym.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414956"/>
        </w:rPr>
        <w:t xml:space="preserve"> Zakupy na rynku wtórnym są zazwyczaj dokonywane w walucie fiat.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414956"/>
        </w:rPr>
        <w:t xml:space="preserve"> Zakupy za pośrednictwem punktu dostępu mogą być dokonywane w walucie fiat lub w dowolnej innej formie akceptowanej przez odpowiedni punkt dostępu. W przypadku wystąpienia określonych zdarzeń Emitent może przedwcześnie zakończyć i zrealizować produkt w Bitcoinach lub, jeżeli inwestor nie może otrzymać lub przyjąć Bitcoinów z przyczyn prawnych lub regulacyjnych, w EUR.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414956"/>
        </w:rPr>
        <w:t xml:space="preserve"> Zdarzenia te zostały wyjaśnione bardziej szczegółowo w warunkach i postanowieniach dotyczących produktu.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414956"/>
        </w:rPr>
        <w:t xml:space="preserve"> Inwestorzy muszą być świadomi, że każdy zwrot, jaki otrzymuje inwestor w przypadku takiego wcześniejszego wykupu, może różnić się od wykupu, który jest przetwarzany według uznania inwestora (jak opisano poniżej) i może być znacznie niższy niż kwota, którą inwestor zainwestował przy zakupie, w tym możliwość całkowitej straty.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414956"/>
        </w:rPr>
        <w:t xml:space="preserve"> Ponadto inwestorzy ponoszą ryzyko, że wypowiedzenie umowy przez Emitenta może nastąpić w czasie dla nich niekorzystnym oraz że mogą oni być w stanie reinwestować wypowiedzianą kwotę jedynie na gorszych warunkach. Oprócz sprzedaży produktu na rynku wtórnym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36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23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wypowiedzenie i umorzenie całości lub części produktu może nastąpić również u Emitenta lub podmiotu zamawiającego w dowolnym momencie i na określonych warunkach.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Roszczenie inwestora (kwota wypłaty) odpowiada Uprawnieniu Kryptowalutowemu na dzień wykonania prawa do wykupu produktu pomniejszonemu o koszty realizacji określone poniżej.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Emitent przekaże to roszczenie do portfela cyfrowego wskazanego przez inwestora w formie realizacji przekazanej przez Emitenta.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Jeżeli z przyczyn prawnych lub regulacyjnych inwestor nie ma możliwości otrzymania lub przyjęcia Bitcoinów, może zażądać wykupu w EUR jako alternatywy dla wykupu w Bitcoinach.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Inwestor otrzyma kwotę pieniężną w EUR równą kwocie uzyskanej ze sprzedaży bazowego Bitcoina.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</w:t>
      </w: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414956"/>
        </w:rPr>
        <w:t xml:space="preserve">Podstawowy: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Bitcoin (XBT).</w:t>
      </w:r>
    </w:p>
    <w:p>
      <w:pPr xmlns:w="http://schemas.openxmlformats.org/wordprocessingml/2006/main">
        <w:spacing w:after="0" w:line="23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414956"/>
        </w:rPr>
        <w:t xml:space="preserve">Waluta produktu: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EUR.</w:t>
      </w:r>
    </w:p>
    <w:p>
      <w:pPr xmlns:w="http://schemas.openxmlformats.org/wordprocessingml/2006/main">
        <w:spacing w:after="0" w:line="23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414956"/>
        </w:rPr>
        <w:t xml:space="preserve">Data emisji: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26 stycznia 2023 r.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20"/>
        <w:spacing w:after="0" w:line="23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414956"/>
        </w:rPr>
        <w:t xml:space="preserve">Miejsce obrotu: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Deutsche Börse Xetra (Frankfurcka Giełda Papierów Wartościowych) oraz od czasu do czasu dodatkowe giełdy.</w:t>
      </w: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414956"/>
        </w:rPr>
        <w:t xml:space="preserve"> Uprawnienie do kryptowalut na jednostkę: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Początkowo 0.0001 Bitcoin, zmniejszone z czasem o roczną opłatę w wysokości 0.75%.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60"/>
        <w:spacing w:after="0" w:line="23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414956"/>
        </w:rPr>
        <w:t xml:space="preserve">Prawa Emitenta: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Emitent może zainicjować wypowiedzenie i umorzenie w przypadku zaistnienia określonych zdarzeń, zgodnie z warunkami produktu.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20"/>
        <w:spacing w:after="0" w:line="23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414956"/>
        </w:rPr>
        <w:t xml:space="preserve">Prawa Inwestorów: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Inwestorzy mogą w dowolnym momencie zakończyć i wykupić produkt dla Bitcoinów lub, jeśli wypłata w Bitcoinach nie jest możliwa z przyczyn prawnych lub regulacyjnych, równowartość w EUR (proces wyceny jest określony w warunkach produktu).</w:t>
      </w:r>
    </w:p>
    <w:p>
      <w:pPr xmlns:w="http://schemas.openxmlformats.org/wordprocessingml/2006/main"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414956"/>
        </w:rPr>
        <w:t xml:space="preserve">Dodatkowe informacje: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Brak.</w:t>
      </w:r>
    </w:p>
    <w:p>
      <w:pPr>
        <w:spacing w:after="0" w:line="17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B72F2A"/>
        </w:rPr>
        <w:t xml:space="preserve">Zamierzony inwestor detaliczny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414956"/>
        </w:rPr>
        <w:t xml:space="preserve">Niniejszy produkt jest przeznaczony dla inwestorów, którzy chcą dokonać inwestycji w niestabilną klasę aktywów, oczekując, że wartość ta wzrośnie w czasie w stopniu wystarczającym do pokrycia powtarzających się kosztów; są świadomi wysokiej zmienności cen i potencjalnego negatywnego wpływu na krótkoterminowe wyniki produktu; mają ograniczony dostęp do wymogów technicznych związanych z inwestowaniem bezpośrednio w Bitcoin lub nie chcą się nimi zajmować, a zatem wolą inwestować pośrednio za pośrednictwem zabezpieczonego instrumentu dłużnego; posiadają wystarczającą wiedzę lub doświadczenie w zakresie tego rodzaju produktów lub podobnych produktów, w szczególności papierów wartościowych zabezpieczonych aktywami; i są w stanie ponieść straty do całkowitej utraty swojej inwestycji.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1877695</wp:posOffset>
            </wp:positionH>
            <wp:positionV relativeFrom="paragraph">
              <wp:posOffset>1547495</wp:posOffset>
            </wp:positionV>
            <wp:extent cx="1367790" cy="42926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29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687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5180" w:space="460"/>
            <w:col w:w="5020"/>
          </w:cols>
          <w:pgMar w:left="480" w:top="80" w:right="766" w:bottom="0" w:gutter="0" w:footer="0" w:header="0"/>
          <w:type w:val="continuous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414956"/>
        </w:rPr>
        <w:t xml:space="preserve">1/3</w:t>
      </w:r>
    </w:p>
    <w:p>
      <w:pPr>
        <w:sectPr>
          <w:pgSz w:w="11900" w:h="16838" w:orient="portrait"/>
          <w:cols w:equalWidth="0" w:num="1">
            <w:col w:w="10660"/>
          </w:cols>
          <w:pgMar w:left="480" w:top="80" w:right="766" w:bottom="0" w:gutter="0" w:footer="0" w:header="0"/>
          <w:type w:val="continuous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FFFFFF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954278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542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FFFFFF"/>
        </w:rPr>
        <w:t xml:space="preserve">Fizyczny ETP Bitcoin Fidelity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006193"/>
        </w:rPr>
        <w:t xml:space="preserve">Jakie jest ryzyko i co mogę dostać w zamian?</w:t>
      </w:r>
    </w:p>
    <w:p>
      <w:pPr>
        <w:spacing w:after="0" w:line="6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B72F2A"/>
        </w:rPr>
        <w:t xml:space="preserve">Wskaźnik Ryzyka</w:t>
      </w:r>
    </w:p>
    <w:p>
      <w:pPr>
        <w:spacing w:after="0" w:line="37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680"/>
        <w:spacing w:after="0"/>
        <w:tabs>
          <w:tab w:leader="none" w:pos="4240" w:val="left"/>
          <w:tab w:leader="none" w:pos="4800" w:val="left"/>
          <w:tab w:leader="none" w:pos="5360" w:val="left"/>
          <w:tab w:leader="none" w:pos="5940" w:val="left"/>
          <w:tab w:leader="none" w:pos="6500" w:val="left"/>
          <w:tab w:leader="none" w:pos="706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1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2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3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4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5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FFFFFF"/>
        </w:rPr>
        <w:t xml:space="preserve">6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auto"/>
        </w:rPr>
        <w:t xml:space="preserve">7</w:t>
      </w:r>
    </w:p>
    <w:p>
      <w:pPr>
        <w:spacing w:after="0" w:line="38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940"/>
        <w:spacing w:after="0"/>
        <w:tabs>
          <w:tab w:leader="none" w:pos="690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006193"/>
        </w:rPr>
        <w:t xml:space="preserve">Niższe ryzyko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006193"/>
        </w:rPr>
        <w:t xml:space="preserve">Wyższe ryzyko</w:t>
      </w:r>
    </w:p>
    <w:p>
      <w:pPr>
        <w:spacing w:after="0" w:line="14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4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414956"/>
        </w:rPr>
        <w:t xml:space="preserve">Wskaźnik ryzyka zakłada przechowywanie produktu przez 6 lat.</w:t>
      </w:r>
    </w:p>
    <w:p>
      <w:pPr xmlns:w="http://schemas.openxmlformats.org/wordprocessingml/2006/main">
        <w:ind w:left="2420"/>
        <w:spacing w:after="0" w:line="23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414956"/>
        </w:rPr>
        <w:t xml:space="preserve">Rzeczywiste ryzyko może się znacznie różnić, jeśli dokonasz wpłaty na wczesnym etapie, a otrzymasz mniej.</w:t>
      </w:r>
    </w:p>
    <w:p>
      <w:pPr xmlns:w="http://schemas.openxmlformats.org/wordprocessingml/2006/main">
        <w:ind w:left="2420" w:right="140"/>
        <w:spacing w:after="0" w:line="23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414956"/>
        </w:rPr>
        <w:t xml:space="preserve">Możesz nie być w stanie łatwo sprzedać swojego produktu lub być może będziesz musiał sprzedać go po cenie, która ma znaczący wpływ na to, ile otrzymasz.</w:t>
      </w:r>
    </w:p>
    <w:p>
      <w:pPr>
        <w:spacing w:after="0" w:line="21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20"/>
        <w:spacing w:after="0" w:line="23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Pokazuje, jak prawdopodobne jest, że produkt straci pieniądze z powodu zmian na rynkach lub dlatego, że nie jesteśmy w stanie zapłacić.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Zaklasyfikowaliśmy ten produkt jako 6 z 7, co jest drugą najwyższą klasą ryzyka.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80"/>
        <w:spacing w:after="0" w:line="23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W ten sposób ocenia się potencjalne straty wynikające z przyszłych wyników na wysokim poziomie, a złe warunki rynkowe prawdopodobnie wpłyną na zdolność płatniczą.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40"/>
        <w:spacing w:after="0" w:line="23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414956"/>
        </w:rPr>
        <w:t xml:space="preserve">Bądź świadomy ryzyka walutowego.</w:t>
      </w: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414956"/>
        </w:rPr>
        <w:t xml:space="preserve"> Otrzymasz płatności w innej walucie, więc ostateczny zwrot będzie zależał od kursu wymiany między tymi dwiema walutami.</w:t>
      </w: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414956"/>
        </w:rPr>
        <w:t xml:space="preserve"> Ryzyko to nie jest uwzględniane we wskaźniku przedstawionym powyżej.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80"/>
        <w:spacing w:after="0" w:line="23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Ponadto produkt jest narażony na dalsze ryzyko, takie jak niepewność związana ze statusem prawnym i regulacyjnym instrumentu bazowego lub ryzyko związane z powstającą technologią i protokołami kryptograficznymi, takimi jak hakowanie i kradzież Bitcoina.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Ten produkt nie obejmuje żadnej ochrony przed przyszłą sytuacją rynkową, więc możesz stracić część lub całość inwestycji.</w:t>
      </w:r>
    </w:p>
    <w:p>
      <w:pPr>
        <w:spacing w:after="0" w:line="3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Jeśli Fidelity Exchange Traded Products GmbH nie będzie w stanie spłacić należnej kwoty, możesz stracić całą swoją inwestycję.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B72F2A"/>
        </w:rPr>
        <w:t xml:space="preserve">Scenariusze wydajności</w:t>
      </w:r>
    </w:p>
    <w:p>
      <w:pPr>
        <w:spacing w:after="0" w:line="3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00"/>
        <w:spacing w:after="0" w:line="23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Podane liczby obejmują wszystkie koszty samego produktu, ale mogą nie obejmować wszystkich kosztów, które płacisz swojemu doradcy lub dystrybutorowi.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Liczby nie uwzględniają Twojej osobistej sytuacji podatkowej, co może mieć również wpływ na to, ile odzyskasz.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60"/>
        <w:spacing w:after="0" w:line="23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To, co uzyskasz z tego produktu, zależy od przyszłej wydajności rynku.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Rozwój rynku w przyszłości jest niepewny i nie można go dokładnie przewidzieć.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80"/>
        <w:spacing w:after="0" w:line="23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Pokazane scenariusze niekorzystne, umiarkowane i korzystne to ilustracje wykorzystujące najgorszą, średnią i najlepszą wydajność produktu oraz odpowiedni wzorzec odniesienia w ciągu ostatnich 11 lat.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Rynki mogą w przyszłości rozwijać się zupełnie inaczej.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2"/>
        </w:trPr>
        <w:tc>
          <w:tcPr>
            <w:tcW w:w="6340" w:type="dxa"/>
            <w:vAlign w:val="bottom"/>
            <w:tcBorders>
              <w:top w:val="single" w:sz="8" w:color="808080"/>
              <w:left w:val="single" w:sz="8" w:color="808080"/>
              <w:right w:val="single" w:sz="8" w:color="808080"/>
            </w:tcBorders>
            <w:gridSpan w:val="2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FFFFFF"/>
              </w:rPr>
              <w:t xml:space="preserve">Zalecany okres przechowywania: 6 lat</w:t>
            </w:r>
          </w:p>
        </w:tc>
        <w:tc>
          <w:tcPr>
            <w:tcW w:w="2140" w:type="dxa"/>
            <w:vAlign w:val="bottom"/>
            <w:tcBorders>
              <w:top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top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top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340" w:type="dxa"/>
            <w:vAlign w:val="bottom"/>
            <w:tcBorders>
              <w:left w:val="single" w:sz="8" w:color="808080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FFFFFF"/>
                <w:w w:val="88"/>
              </w:rPr>
              <w:t xml:space="preserve">Przykładowa inwestycja: 10 000 EUR</w:t>
            </w:r>
          </w:p>
        </w:tc>
        <w:tc>
          <w:tcPr>
            <w:tcW w:w="400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25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FFFFFF"/>
              </w:rPr>
              <w:t xml:space="preserve">Jeśli wyjdziesz po 1 roku</w:t>
            </w:r>
          </w:p>
        </w:tc>
        <w:tc>
          <w:tcPr>
            <w:tcW w:w="2140" w:type="dxa"/>
            <w:vAlign w:val="bottom"/>
            <w:tcBorders>
              <w:right w:val="single" w:sz="8" w:color="808080"/>
            </w:tcBorders>
            <w:gridSpan w:val="2"/>
            <w:vMerge w:val="restart"/>
          </w:tcPr>
          <w:p>
            <w:pPr xmlns:w="http://schemas.openxmlformats.org/wordprocessingml/2006/main">
              <w:jc w:val="right"/>
              <w:ind w:right="2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FFFFFF"/>
              </w:rPr>
              <w:t xml:space="preserve">Wyjście z programu po 6 latach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340" w:type="dxa"/>
            <w:vAlign w:val="bottom"/>
            <w:tcBorders>
              <w:left w:val="single" w:sz="8" w:color="80808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00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right w:val="single" w:sz="8" w:color="808080"/>
            </w:tcBorders>
            <w:gridSpan w:val="2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2340" w:type="dxa"/>
            <w:vAlign w:val="bottom"/>
            <w:tcBorders>
              <w:left w:val="single" w:sz="8" w:color="808080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FFFFFF"/>
              </w:rPr>
              <w:t xml:space="preserve">Scenariusze</w:t>
            </w:r>
          </w:p>
        </w:tc>
        <w:tc>
          <w:tcPr>
            <w:tcW w:w="400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"/>
        </w:trPr>
        <w:tc>
          <w:tcPr>
            <w:tcW w:w="2340" w:type="dxa"/>
            <w:vAlign w:val="bottom"/>
            <w:tcBorders>
              <w:left w:val="single" w:sz="8" w:color="808080"/>
              <w:bottom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2340" w:type="dxa"/>
            <w:vAlign w:val="bottom"/>
            <w:tcBorders>
              <w:left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414956"/>
              </w:rPr>
              <w:t xml:space="preserve">Minimalne</w:t>
            </w:r>
          </w:p>
        </w:tc>
        <w:tc>
          <w:tcPr>
            <w:tcW w:w="7900" w:type="dxa"/>
            <w:vAlign w:val="bottom"/>
            <w:gridSpan w:val="3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Nie ma minimalnego gwarantowanego zwrotu.</w:t>
            </w: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 Możesz stracić część lub całość inwestycji.</w:t>
            </w:r>
          </w:p>
        </w:tc>
        <w:tc>
          <w:tcPr>
            <w:tcW w:w="40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2340" w:type="dxa"/>
            <w:vAlign w:val="bottom"/>
            <w:tcBorders>
              <w:left w:val="single" w:sz="8" w:color="808080"/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0" w:type="dxa"/>
            <w:vAlign w:val="bottom"/>
            <w:tcBorders>
              <w:bottom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340" w:type="dxa"/>
            <w:vAlign w:val="bottom"/>
            <w:tcBorders>
              <w:left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414956"/>
              </w:rPr>
              <w:t xml:space="preserve">Naprężenie</w:t>
            </w:r>
          </w:p>
        </w:tc>
        <w:tc>
          <w:tcPr>
            <w:tcW w:w="400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Co możesz odzyskać po kosztach</w:t>
            </w:r>
          </w:p>
        </w:tc>
        <w:tc>
          <w:tcPr>
            <w:tcW w:w="214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90 EUR</w:t>
            </w:r>
          </w:p>
        </w:tc>
        <w:tc>
          <w:tcPr>
            <w:tcW w:w="176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10</w:t>
            </w:r>
          </w:p>
        </w:tc>
        <w:tc>
          <w:tcPr>
            <w:tcW w:w="40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  <w:w w:val="78"/>
              </w:rPr>
              <w:t xml:space="preserve">EUR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2340" w:type="dxa"/>
            <w:vAlign w:val="bottom"/>
            <w:tcBorders>
              <w:left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808080"/>
              <w:right w:val="single" w:sz="8" w:color="808080"/>
            </w:tcBorders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2340" w:type="dxa"/>
            <w:vAlign w:val="bottom"/>
            <w:tcBorders>
              <w:left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0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Średni zwrot w każdym roku</w:t>
            </w:r>
          </w:p>
        </w:tc>
        <w:tc>
          <w:tcPr>
            <w:tcW w:w="214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- 99,1%</w:t>
            </w:r>
          </w:p>
        </w:tc>
        <w:tc>
          <w:tcPr>
            <w:tcW w:w="2140" w:type="dxa"/>
            <w:vAlign w:val="bottom"/>
            <w:tcBorders>
              <w:right w:val="single" w:sz="8" w:color="808080"/>
            </w:tcBorders>
            <w:gridSpan w:val="2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- 70,4%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340" w:type="dxa"/>
            <w:vAlign w:val="bottom"/>
            <w:tcBorders>
              <w:left w:val="single" w:sz="8" w:color="808080"/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340" w:type="dxa"/>
            <w:vAlign w:val="bottom"/>
            <w:tcBorders>
              <w:left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414956"/>
              </w:rPr>
              <w:t xml:space="preserve">Niekorzystny</w:t>
            </w:r>
          </w:p>
        </w:tc>
        <w:tc>
          <w:tcPr>
            <w:tcW w:w="400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Co możesz odzyskać po kosztach</w:t>
            </w:r>
          </w:p>
        </w:tc>
        <w:tc>
          <w:tcPr>
            <w:tcW w:w="214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2 670 EUR</w:t>
            </w:r>
          </w:p>
        </w:tc>
        <w:tc>
          <w:tcPr>
            <w:tcW w:w="176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3 940</w:t>
            </w:r>
          </w:p>
        </w:tc>
        <w:tc>
          <w:tcPr>
            <w:tcW w:w="40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  <w:w w:val="78"/>
              </w:rPr>
              <w:t xml:space="preserve">EUR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340" w:type="dxa"/>
            <w:vAlign w:val="bottom"/>
            <w:tcBorders>
              <w:left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808080"/>
              <w:right w:val="single" w:sz="8" w:color="808080"/>
            </w:tcBorders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2340" w:type="dxa"/>
            <w:vAlign w:val="bottom"/>
            <w:tcBorders>
              <w:left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0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Średni zwrot w każdym roku</w:t>
            </w:r>
          </w:p>
        </w:tc>
        <w:tc>
          <w:tcPr>
            <w:tcW w:w="214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- 73,3%</w:t>
            </w:r>
          </w:p>
        </w:tc>
        <w:tc>
          <w:tcPr>
            <w:tcW w:w="2140" w:type="dxa"/>
            <w:vAlign w:val="bottom"/>
            <w:tcBorders>
              <w:right w:val="single" w:sz="8" w:color="808080"/>
            </w:tcBorders>
            <w:gridSpan w:val="2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- 14,4%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340" w:type="dxa"/>
            <w:vAlign w:val="bottom"/>
            <w:tcBorders>
              <w:left w:val="single" w:sz="8" w:color="808080"/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2340" w:type="dxa"/>
            <w:vAlign w:val="bottom"/>
            <w:tcBorders>
              <w:left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414956"/>
              </w:rPr>
              <w:t xml:space="preserve">Umiarkowane</w:t>
            </w:r>
          </w:p>
        </w:tc>
        <w:tc>
          <w:tcPr>
            <w:tcW w:w="400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Co możesz odzyskać po kosztach</w:t>
            </w:r>
          </w:p>
        </w:tc>
        <w:tc>
          <w:tcPr>
            <w:tcW w:w="214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17 300 EUR</w:t>
            </w:r>
          </w:p>
        </w:tc>
        <w:tc>
          <w:tcPr>
            <w:tcW w:w="176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703 020</w:t>
            </w:r>
          </w:p>
        </w:tc>
        <w:tc>
          <w:tcPr>
            <w:tcW w:w="40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  <w:w w:val="78"/>
              </w:rPr>
              <w:t xml:space="preserve">EUR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2340" w:type="dxa"/>
            <w:vAlign w:val="bottom"/>
            <w:tcBorders>
              <w:left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808080"/>
              <w:right w:val="single" w:sz="8" w:color="808080"/>
            </w:tcBorders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2340" w:type="dxa"/>
            <w:vAlign w:val="bottom"/>
            <w:tcBorders>
              <w:left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00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Średni zwrot w każdym roku</w:t>
            </w:r>
          </w:p>
        </w:tc>
        <w:tc>
          <w:tcPr>
            <w:tcW w:w="214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73.0%</w:t>
            </w:r>
          </w:p>
        </w:tc>
        <w:tc>
          <w:tcPr>
            <w:tcW w:w="2140" w:type="dxa"/>
            <w:vAlign w:val="bottom"/>
            <w:tcBorders>
              <w:right w:val="single" w:sz="8" w:color="808080"/>
            </w:tcBorders>
            <w:gridSpan w:val="2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103.2%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340" w:type="dxa"/>
            <w:vAlign w:val="bottom"/>
            <w:tcBorders>
              <w:left w:val="single" w:sz="8" w:color="808080"/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8"/>
        </w:trPr>
        <w:tc>
          <w:tcPr>
            <w:tcW w:w="2340" w:type="dxa"/>
            <w:vAlign w:val="bottom"/>
            <w:tcBorders>
              <w:left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414956"/>
              </w:rPr>
              <w:t xml:space="preserve">Korzystne</w:t>
            </w:r>
          </w:p>
        </w:tc>
        <w:tc>
          <w:tcPr>
            <w:tcW w:w="400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Co możesz odzyskać po kosztach</w:t>
            </w:r>
          </w:p>
        </w:tc>
        <w:tc>
          <w:tcPr>
            <w:tcW w:w="214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132 140 EUR</w:t>
            </w:r>
          </w:p>
        </w:tc>
        <w:tc>
          <w:tcPr>
            <w:tcW w:w="176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3 648 420</w:t>
            </w:r>
          </w:p>
        </w:tc>
        <w:tc>
          <w:tcPr>
            <w:tcW w:w="40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  <w:w w:val="78"/>
              </w:rPr>
              <w:t xml:space="preserve">EUR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340" w:type="dxa"/>
            <w:vAlign w:val="bottom"/>
            <w:tcBorders>
              <w:left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00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808080"/>
              <w:right w:val="single" w:sz="8" w:color="808080"/>
            </w:tcBorders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2340" w:type="dxa"/>
            <w:vAlign w:val="bottom"/>
            <w:tcBorders>
              <w:left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0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Średni zwrot w każdym roku</w:t>
            </w:r>
          </w:p>
        </w:tc>
        <w:tc>
          <w:tcPr>
            <w:tcW w:w="214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1 221,4%</w:t>
            </w:r>
          </w:p>
        </w:tc>
        <w:tc>
          <w:tcPr>
            <w:tcW w:w="2140" w:type="dxa"/>
            <w:vAlign w:val="bottom"/>
            <w:tcBorders>
              <w:right w:val="single" w:sz="8" w:color="808080"/>
            </w:tcBorders>
            <w:gridSpan w:val="2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414956"/>
              </w:rPr>
              <w:t xml:space="preserve">167,3%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340" w:type="dxa"/>
            <w:vAlign w:val="bottom"/>
            <w:tcBorders>
              <w:left w:val="single" w:sz="8" w:color="808080"/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14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Scenariusz warunków skrajnych pokazuje, co możesz odzyskać w ekstremalnych warunkach rynkowych.</w:t>
      </w:r>
    </w:p>
    <w:p>
      <w:pPr>
        <w:spacing w:after="0" w:line="3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Niekorzystny scenariusz wystąpił dla inwestycji w okresie od 10/2021 do 4/2023.</w:t>
      </w:r>
    </w:p>
    <w:p>
      <w:pPr>
        <w:spacing w:after="0" w:line="3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Scenariusz umiarkowany miał miejsce w przypadku inwestycji między dniem 6 czerwca 2015 r. a dniem 6 czerwca 2020 r.</w:t>
      </w:r>
    </w:p>
    <w:p>
      <w:pPr>
        <w:spacing w:after="0" w:line="3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Scenariusz korzystny wystąpił dla inwestycji w okresie od 3 marca 2016 r. do 3 marca 2021 r.</w:t>
      </w:r>
    </w:p>
    <w:p>
      <w:pPr>
        <w:spacing w:after="0" w:line="30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006193"/>
        </w:rPr>
        <w:t xml:space="preserve">Co się stanie, jeśli Fidelity Exchange Traded Products GmbH nie będzie w stanie wypłacić?</w:t>
      </w:r>
    </w:p>
    <w:p>
      <w:pPr>
        <w:spacing w:after="0" w:line="3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right="100"/>
        <w:spacing w:after="0" w:line="24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414956"/>
        </w:rPr>
        <w:t xml:space="preserve">Mimo że Fidelity Physical Bitcoin ETP jest produktem zabezpieczonym Bitcoinami, inwestor ponosi ryzyko, że Emitent może nie być w stanie wypełnić swoich zobowiązań w stosunku do produktu, na przykład w przypadku niewypłacalności Emitenta.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414956"/>
        </w:rPr>
        <w:t xml:space="preserve"> Emitent jest spółką celową, która nie prowadzi własnej działalności gospodarczej.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414956"/>
        </w:rPr>
        <w:t xml:space="preserve"> W związku z tym wyłącznym celem Emitenta jest emisja tego produktu (oraz innych produktów zabezpieczonych kryptowalutami, od czasu do czasu).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414956"/>
        </w:rPr>
        <w:t xml:space="preserve"> W związku z tym, na przykład, Emitent może mieć dostęp do Bitcoinów zdeponowanych jako zabezpieczenie jedynie w celu zaspokojenia wszystkich roszczeń z tytułu emisji lub płatności związanych z produktem.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414956"/>
        </w:rPr>
        <w:t xml:space="preserve"> Niniejszy produkt przyznaje inwestorom prawo do zdeponowanych Bitcoinów lub do praw do papierów wartościowych posiadanych przez powiernika za pośrednictwem Portfela Depozytariusza oraz poprzez rachunek papierów wartościowych Emitenta.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414956"/>
        </w:rPr>
        <w:t xml:space="preserve"> Wystąpienie różnych scenariuszy w odniesieniu do tych Bitcoinów oraz roszczeń do praw do zabezpieczeń może mieć wpływ na zdolność Emitenta do wywiązywania się ze zobowiązań wynikających z warunków produktowych.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414956"/>
        </w:rPr>
        <w:t xml:space="preserve"> Chociaż Emitent zobowiązuje się do zdeponowania w Portfelu Depozytariusza wystarczającej ilości Bitcoinów, aby pokryć wszystkie roszczenia z tytułu produktu, istnieje ryzyko, że Bitcoiny zdeponowane przez Emitenta nie będą wystarczające do zaspokojenia żądania umorzenia lub roszczeń o płatność.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414956"/>
        </w:rPr>
        <w:t xml:space="preserve"> Możliwa jest całkowita utrata zainwestowanego kapitału.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414956"/>
        </w:rPr>
        <w:t xml:space="preserve"> Nie ma obowiązku wnoszenia dalszych wkładów.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414956"/>
        </w:rPr>
        <w:t xml:space="preserve"> Produkt nie jest depozytem i nie podlega systemom gwarancji depozytów ani żadnym innym systemom ochrony.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5357495</wp:posOffset>
            </wp:positionH>
            <wp:positionV relativeFrom="paragraph">
              <wp:posOffset>554355</wp:posOffset>
            </wp:positionV>
            <wp:extent cx="1367790" cy="42926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29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600"/>
          </w:cols>
          <w:pgMar w:left="640" w:top="80" w:right="666" w:bottom="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414956"/>
        </w:rPr>
        <w:t xml:space="preserve">2/3</w:t>
      </w:r>
    </w:p>
    <w:p>
      <w:pPr>
        <w:sectPr>
          <w:pgSz w:w="11900" w:h="16838" w:orient="portrait"/>
          <w:cols w:equalWidth="0" w:num="1">
            <w:col w:w="10600"/>
          </w:cols>
          <w:pgMar w:left="640" w:top="80" w:right="666" w:bottom="0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FFFFFF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59690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59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FFFFFF"/>
        </w:rPr>
        <w:t xml:space="preserve">Fizyczny ETP Bitcoin Fidelity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-405765</wp:posOffset>
            </wp:positionH>
            <wp:positionV relativeFrom="paragraph">
              <wp:posOffset>428625</wp:posOffset>
            </wp:positionV>
            <wp:extent cx="7560310" cy="756539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565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006193"/>
        </w:rPr>
        <w:t xml:space="preserve">Jakie są koszty?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60"/>
        <w:spacing w:after="0" w:line="23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Osoba, która sprzedaje lub doradza Ci ten produkt, może obciążyć Cię innymi kosztami.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Jeśli tak, osoba ta dostarczy Ci informacji o tych kosztach i pokaże Ci wpływ, jaki wszystkie koszty będą miały na Twoją inwestycję w czasie.</w:t>
      </w:r>
    </w:p>
    <w:p>
      <w:pPr>
        <w:spacing w:after="0" w:line="2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B72F2A"/>
        </w:rPr>
        <w:t xml:space="preserve">Koszty w czasie</w:t>
      </w:r>
    </w:p>
    <w:p>
      <w:pPr>
        <w:spacing w:after="0" w:line="6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right="120"/>
        <w:spacing w:after="0" w:line="23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W tabelach przedstawiono kwoty pobrane z inwestycji w celu pokrycia różnych rodzajów kosztów.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Kwoty te zależą od tego, ile zainwestujesz, jak długo przechowujesz produkt i jak dobrze działa produkt.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Przedstawione tu kwoty są ilustracjami opartymi na przykładowej kwocie inwestycji i różnych możliwych okresach inwestycji.</w:t>
      </w:r>
    </w:p>
    <w:p>
      <w:pPr>
        <w:spacing w:after="0" w:line="2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Założyliśmy: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60" w:firstLine="5"/>
        <w:spacing w:after="0" w:line="230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8"/>
          <w:szCs w:val="18"/>
          <w:color w:val="414956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W pierwszym roku otrzymasz kwotę, którą zainwestowałeś (0% rocznego zwrotu).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W odniesieniu do pozostałych okresów utrzymywania zasobów założyliśmy, że produkt działa zgodnie ze scenariuszem umiarkowanym.</w:t>
      </w:r>
    </w:p>
    <w:p>
      <w:pPr xmlns:w="http://schemas.openxmlformats.org/wordprocessingml/2006/main">
        <w:ind w:left="180" w:hanging="175"/>
        <w:spacing w:after="0" w:line="230" w:lineRule="auto"/>
        <w:tabs>
          <w:tab w:leader="none" w:pos="180" w:val="left"/>
        </w:tabs>
        <w:numPr>
          <w:ilvl w:val="0"/>
          <w:numId w:val="1"/>
        </w:numPr>
        <w:rPr>
          <w:rFonts w:ascii="Arial" w:cs="Arial" w:eastAsia="Arial" w:hAnsi="Arial"/>
          <w:sz w:val="18"/>
          <w:szCs w:val="18"/>
          <w:color w:val="414956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Zainwestowano 10 000 euro.</w:t>
      </w:r>
    </w:p>
    <w:p>
      <w:pPr>
        <w:spacing w:after="0" w:line="28" w:lineRule="exact"/>
        <w:rPr>
          <w:sz w:val="20"/>
          <w:szCs w:val="20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7"/>
        </w:trPr>
        <w:tc>
          <w:tcPr>
            <w:tcW w:w="3520" w:type="dxa"/>
            <w:vAlign w:val="bottom"/>
            <w:tcBorders>
              <w:left w:val="single" w:sz="8" w:color="808080"/>
              <w:bottom w:val="single" w:sz="8" w:color="006193"/>
              <w:right w:val="single" w:sz="8" w:color="006193"/>
            </w:tcBorders>
            <w:shd w:val="clear" w:color="auto" w:fill="006193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0" w:type="dxa"/>
            <w:vAlign w:val="bottom"/>
            <w:tcBorders>
              <w:bottom w:val="single" w:sz="8" w:color="006193"/>
              <w:right w:val="single" w:sz="8" w:color="808080"/>
            </w:tcBorders>
            <w:shd w:val="clear" w:color="auto" w:fill="006193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FFFFFF"/>
                <w:w w:val="88"/>
              </w:rPr>
              <w:t xml:space="preserve">Jeśli wyjdziesz po 1 roku</w:t>
            </w:r>
          </w:p>
        </w:tc>
        <w:tc>
          <w:tcPr>
            <w:tcW w:w="3520" w:type="dxa"/>
            <w:vAlign w:val="bottom"/>
            <w:tcBorders>
              <w:bottom w:val="single" w:sz="8" w:color="006193"/>
              <w:right w:val="single" w:sz="8" w:color="808080"/>
            </w:tcBorders>
            <w:shd w:val="clear" w:color="auto" w:fill="006193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FFFFFF"/>
                <w:w w:val="87"/>
              </w:rPr>
              <w:t xml:space="preserve">Wyjście z programu po 6 latach</w:t>
            </w:r>
          </w:p>
        </w:tc>
      </w:tr>
      <w:tr>
        <w:trPr>
          <w:trHeight w:val="224"/>
        </w:trPr>
        <w:tc>
          <w:tcPr>
            <w:tcW w:w="3520" w:type="dxa"/>
            <w:vAlign w:val="bottom"/>
            <w:tcBorders>
              <w:left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414956"/>
              </w:rPr>
              <w:t xml:space="preserve">Koszty ogółem</w:t>
            </w:r>
          </w:p>
        </w:tc>
        <w:tc>
          <w:tcPr>
            <w:tcW w:w="360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414956"/>
                <w:w w:val="85"/>
              </w:rPr>
              <w:t xml:space="preserve">76 EUR</w:t>
            </w:r>
          </w:p>
        </w:tc>
        <w:tc>
          <w:tcPr>
            <w:tcW w:w="352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414956"/>
                <w:w w:val="84"/>
              </w:rPr>
              <w:t xml:space="preserve">10 314 EUR</w:t>
            </w:r>
          </w:p>
        </w:tc>
      </w:tr>
      <w:tr>
        <w:trPr>
          <w:trHeight w:val="23"/>
        </w:trPr>
        <w:tc>
          <w:tcPr>
            <w:tcW w:w="3520" w:type="dxa"/>
            <w:vAlign w:val="bottom"/>
            <w:tcBorders>
              <w:left w:val="single" w:sz="8" w:color="808080"/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60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52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214"/>
        </w:trPr>
        <w:tc>
          <w:tcPr>
            <w:tcW w:w="3520" w:type="dxa"/>
            <w:vAlign w:val="bottom"/>
            <w:tcBorders>
              <w:left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414956"/>
              </w:rPr>
              <w:t xml:space="preserve">Roczny wpływ na koszty (*)</w:t>
            </w:r>
          </w:p>
        </w:tc>
        <w:tc>
          <w:tcPr>
            <w:tcW w:w="360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414956"/>
                <w:w w:val="76"/>
              </w:rPr>
              <w:t xml:space="preserve">0.8%</w:t>
            </w:r>
          </w:p>
        </w:tc>
        <w:tc>
          <w:tcPr>
            <w:tcW w:w="352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414956"/>
                <w:w w:val="89"/>
              </w:rPr>
              <w:t xml:space="preserve">1.5% rocznie</w:t>
            </w:r>
          </w:p>
        </w:tc>
      </w:tr>
      <w:tr>
        <w:trPr>
          <w:trHeight w:val="23"/>
        </w:trPr>
        <w:tc>
          <w:tcPr>
            <w:tcW w:w="3520" w:type="dxa"/>
            <w:vAlign w:val="bottom"/>
            <w:tcBorders>
              <w:left w:val="single" w:sz="8" w:color="808080"/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52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2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60"/>
        <w:spacing w:after="0" w:line="23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(*) Pokazuje to, w jaki sposób koszty zmniejszają zwrot z inwestycji każdego roku w okresie utrzymywania.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Na przykład pokazuje to, że jeśli opuścisz zakład w zalecanym okresie utrzymywania, średni roczny zwrot z inwestycji wyniesie 104.7% przed kosztami i 103.2% po kosztach.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B72F2A"/>
        </w:rPr>
        <w:t xml:space="preserve">Struktura kosztów</w:t>
      </w:r>
    </w:p>
    <w:p>
      <w:pPr>
        <w:spacing w:after="0" w:line="29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7"/>
        </w:trPr>
        <w:tc>
          <w:tcPr>
            <w:tcW w:w="2860" w:type="dxa"/>
            <w:vAlign w:val="bottom"/>
            <w:tcBorders>
              <w:bottom w:val="single" w:sz="8" w:color="006193"/>
              <w:right w:val="single" w:sz="8" w:color="006193"/>
            </w:tcBorders>
            <w:shd w:val="clear" w:color="auto" w:fill="006193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FFFFFF"/>
              </w:rPr>
              <w:t xml:space="preserve">Jednorazowe koszty przy wjeździe lub wyjeździe</w:t>
            </w:r>
          </w:p>
        </w:tc>
        <w:tc>
          <w:tcPr>
            <w:tcW w:w="4920" w:type="dxa"/>
            <w:vAlign w:val="bottom"/>
            <w:tcBorders>
              <w:bottom w:val="single" w:sz="8" w:color="006193"/>
              <w:right w:val="single" w:sz="8" w:color="808080"/>
            </w:tcBorders>
            <w:shd w:val="clear" w:color="auto" w:fill="006193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40" w:type="dxa"/>
            <w:vAlign w:val="bottom"/>
            <w:tcBorders>
              <w:bottom w:val="single" w:sz="8" w:color="006193"/>
            </w:tcBorders>
            <w:shd w:val="clear" w:color="auto" w:fill="006193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FFFFFF"/>
                <w:w w:val="88"/>
              </w:rPr>
              <w:t xml:space="preserve">Jeśli wyjdziesz po 1 roku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2860" w:type="dxa"/>
            <w:vAlign w:val="bottom"/>
            <w:tcBorders>
              <w:top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414956"/>
              </w:rPr>
              <w:t xml:space="preserve">Koszty wejścia</w:t>
            </w:r>
          </w:p>
        </w:tc>
        <w:tc>
          <w:tcPr>
            <w:tcW w:w="4920" w:type="dxa"/>
            <w:vAlign w:val="bottom"/>
            <w:tcBorders>
              <w:top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414956"/>
              </w:rPr>
              <w:t xml:space="preserve">Nie pobieramy opłaty za wstęp.</w:t>
            </w:r>
          </w:p>
        </w:tc>
        <w:tc>
          <w:tcPr>
            <w:tcW w:w="2840" w:type="dxa"/>
            <w:vAlign w:val="bottom"/>
            <w:tcBorders>
              <w:top w:val="single" w:sz="8" w:color="808080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414956"/>
                <w:w w:val="84"/>
              </w:rPr>
              <w:t xml:space="preserve">0 EUR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86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92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40" w:type="dxa"/>
            <w:vAlign w:val="bottom"/>
            <w:tcBorders>
              <w:bottom w:val="single" w:sz="8" w:color="808080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86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92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414956"/>
                <w:w w:val="97"/>
              </w:rPr>
              <w:t xml:space="preserve">Jeżeli obligatariusz żąda wykupu bezpośrednio od emitenta na określonych warunkach</w:t>
            </w: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86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ind w:left="40"/>
              <w:spacing w:after="0" w:line="17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414956"/>
              </w:rPr>
              <w:t xml:space="preserve">Koszty wyjścia</w:t>
            </w:r>
          </w:p>
        </w:tc>
        <w:tc>
          <w:tcPr>
            <w:tcW w:w="492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ind w:left="20"/>
              <w:spacing w:after="0" w:line="17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414956"/>
              </w:rPr>
              <w:t xml:space="preserve">prospektu emisyjnego emitent może pobrać opłatę w wysokości do 5.00% wartości</w:t>
            </w:r>
          </w:p>
        </w:tc>
        <w:tc>
          <w:tcPr>
            <w:tcW w:w="2840" w:type="dxa"/>
            <w:vAlign w:val="bottom"/>
          </w:tcPr>
          <w:p>
            <w:pPr xmlns:w="http://schemas.openxmlformats.org/wordprocessingml/2006/main">
              <w:jc w:val="center"/>
              <w:spacing w:after="0" w:line="17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414956"/>
                <w:w w:val="84"/>
              </w:rPr>
              <w:t xml:space="preserve">0 EUR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86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92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414956"/>
              </w:rPr>
              <w:t xml:space="preserve">Uprawnienie do kryptowalut dla każdej obligacji.</w:t>
            </w: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"/>
        </w:trPr>
        <w:tc>
          <w:tcPr>
            <w:tcW w:w="286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92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2"/>
        </w:trPr>
        <w:tc>
          <w:tcPr>
            <w:tcW w:w="2860" w:type="dxa"/>
            <w:vAlign w:val="bottom"/>
            <w:tcBorders>
              <w:bottom w:val="single" w:sz="8" w:color="006193"/>
              <w:right w:val="single" w:sz="8" w:color="006193"/>
            </w:tcBorders>
            <w:shd w:val="clear" w:color="auto" w:fill="006193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FFFFFF"/>
              </w:rPr>
              <w:t xml:space="preserve">Koszty bieżące ponoszone każdego roku</w:t>
            </w:r>
          </w:p>
        </w:tc>
        <w:tc>
          <w:tcPr>
            <w:tcW w:w="4920" w:type="dxa"/>
            <w:vAlign w:val="bottom"/>
            <w:tcBorders>
              <w:bottom w:val="single" w:sz="8" w:color="006193"/>
              <w:right w:val="single" w:sz="8" w:color="006193"/>
            </w:tcBorders>
            <w:shd w:val="clear" w:color="auto" w:fill="00619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40" w:type="dxa"/>
            <w:vAlign w:val="bottom"/>
            <w:tcBorders>
              <w:bottom w:val="single" w:sz="8" w:color="006193"/>
            </w:tcBorders>
            <w:shd w:val="clear" w:color="auto" w:fill="00619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860" w:type="dxa"/>
            <w:vAlign w:val="bottom"/>
            <w:tcBorders>
              <w:top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414956"/>
              </w:rPr>
              <w:t xml:space="preserve">Opłaty za zarządzanie i inne</w:t>
            </w:r>
          </w:p>
        </w:tc>
        <w:tc>
          <w:tcPr>
            <w:tcW w:w="4920" w:type="dxa"/>
            <w:vAlign w:val="bottom"/>
            <w:tcBorders>
              <w:top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414956"/>
                <w:w w:val="93"/>
              </w:rPr>
              <w:t xml:space="preserve">0.75% wartości inwestycji rocznie.</w:t>
            </w: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414956"/>
                <w:w w:val="93"/>
              </w:rPr>
              <w:t xml:space="preserve"> Jest to metoda oparta na szacunkach</w:t>
            </w:r>
          </w:p>
        </w:tc>
        <w:tc>
          <w:tcPr>
            <w:tcW w:w="2840" w:type="dxa"/>
            <w:vAlign w:val="bottom"/>
            <w:tcBorders>
              <w:top w:val="single" w:sz="8" w:color="808080"/>
            </w:tcBorders>
            <w:vMerge w:val="restart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414956"/>
                <w:w w:val="85"/>
              </w:rPr>
              <w:t xml:space="preserve">76 EUR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86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414956"/>
              </w:rPr>
              <w:t xml:space="preserve">koszty administracyjne lub operacyjne</w:t>
            </w:r>
          </w:p>
        </w:tc>
        <w:tc>
          <w:tcPr>
            <w:tcW w:w="492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414956"/>
              </w:rPr>
              <w:t xml:space="preserve">rzeczywistych kosztów w ciągu ostatniego roku.</w:t>
            </w:r>
          </w:p>
        </w:tc>
        <w:tc>
          <w:tcPr>
            <w:tcW w:w="28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8"/>
        </w:trPr>
        <w:tc>
          <w:tcPr>
            <w:tcW w:w="286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92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"/>
        </w:trPr>
        <w:tc>
          <w:tcPr>
            <w:tcW w:w="286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92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286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92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414956"/>
                <w:w w:val="93"/>
              </w:rPr>
              <w:t xml:space="preserve">0.00% wartości inwestycji rocznie.</w:t>
            </w: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414956"/>
                <w:w w:val="93"/>
              </w:rPr>
              <w:t xml:space="preserve"> Jest to szacunkowa wartość</w:t>
            </w: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7"/>
        </w:trPr>
        <w:tc>
          <w:tcPr>
            <w:tcW w:w="286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414956"/>
              </w:rPr>
              <w:t xml:space="preserve">Koszty transakcyjne</w:t>
            </w:r>
          </w:p>
        </w:tc>
        <w:tc>
          <w:tcPr>
            <w:tcW w:w="492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ind w:left="20"/>
              <w:spacing w:after="0" w:line="17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414956"/>
                <w:w w:val="96"/>
              </w:rPr>
              <w:t xml:space="preserve">koszty poniesione przy zakupie i sprzedaży inwestycji bazowych na</w:t>
            </w:r>
          </w:p>
        </w:tc>
        <w:tc>
          <w:tcPr>
            <w:tcW w:w="2840" w:type="dxa"/>
            <w:vAlign w:val="bottom"/>
            <w:vMerge w:val="restart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414956"/>
                <w:w w:val="84"/>
              </w:rPr>
              <w:t xml:space="preserve">0 EUR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286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92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ind w:left="20"/>
              <w:spacing w:after="0" w:line="17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414956"/>
                <w:w w:val="99"/>
              </w:rPr>
              <w:t xml:space="preserve">produktu.</w:t>
            </w: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414956"/>
                <w:w w:val="99"/>
              </w:rPr>
              <w:t xml:space="preserve"> Rzeczywista kwota będzie się różnić w zależności od tego, ile kupimy</w:t>
            </w:r>
          </w:p>
        </w:tc>
        <w:tc>
          <w:tcPr>
            <w:tcW w:w="28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286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92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860" w:type="dxa"/>
            <w:vAlign w:val="bottom"/>
            <w:tcBorders>
              <w:right w:val="single" w:sz="8" w:color="808080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920" w:type="dxa"/>
            <w:vAlign w:val="bottom"/>
            <w:tcBorders>
              <w:right w:val="single" w:sz="8" w:color="808080"/>
            </w:tcBorders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414956"/>
              </w:rPr>
              <w:t xml:space="preserve">i sprzedać.</w:t>
            </w: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286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92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7780" w:type="dxa"/>
            <w:vAlign w:val="bottom"/>
            <w:tcBorders>
              <w:right w:val="single" w:sz="8" w:color="006193"/>
            </w:tcBorders>
            <w:gridSpan w:val="2"/>
            <w:shd w:val="clear" w:color="auto" w:fill="006193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FFFFFF"/>
              </w:rPr>
              <w:t xml:space="preserve">Koszty uboczne ponoszone na określonych warunkach</w:t>
            </w:r>
          </w:p>
        </w:tc>
        <w:tc>
          <w:tcPr>
            <w:tcW w:w="2840" w:type="dxa"/>
            <w:vAlign w:val="bottom"/>
            <w:shd w:val="clear" w:color="auto" w:fill="006193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"/>
        </w:trPr>
        <w:tc>
          <w:tcPr>
            <w:tcW w:w="2860" w:type="dxa"/>
            <w:vAlign w:val="bottom"/>
            <w:tcBorders>
              <w:right w:val="single" w:sz="8" w:color="006193"/>
            </w:tcBorders>
            <w:shd w:val="clear" w:color="auto" w:fill="00619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920" w:type="dxa"/>
            <w:vAlign w:val="bottom"/>
            <w:tcBorders>
              <w:right w:val="single" w:sz="8" w:color="006193"/>
            </w:tcBorders>
            <w:shd w:val="clear" w:color="auto" w:fill="00619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840" w:type="dxa"/>
            <w:vAlign w:val="bottom"/>
            <w:shd w:val="clear" w:color="auto" w:fill="00619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1">
            <w:col w:w="10600"/>
          </w:cols>
          <w:pgMar w:left="640" w:top="80" w:right="666" w:bottom="0" w:gutter="0" w:footer="0" w:header="0"/>
        </w:sectPr>
      </w:pPr>
    </w:p>
    <w:p>
      <w:pPr xmlns:w="http://schemas.openxmlformats.org/wordprocessingml/2006/main">
        <w:ind w:left="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414956"/>
        </w:rPr>
        <w:t xml:space="preserve">Opłaty za wyniki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414956"/>
        </w:rPr>
        <w:t xml:space="preserve">Brak opłaty za wydajność dla tego produktu.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3"/>
          <w:szCs w:val="13"/>
          <w:color w:val="414956"/>
        </w:rPr>
        <w:t xml:space="preserve">0 EUR</w:t>
      </w:r>
    </w:p>
    <w:p>
      <w:pPr>
        <w:spacing w:after="0" w:line="211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3">
            <w:col w:w="2160" w:space="720"/>
            <w:col w:w="5380" w:space="720"/>
            <w:col w:w="1620"/>
          </w:cols>
          <w:pgMar w:left="640" w:top="80" w:right="666" w:bottom="0" w:gutter="0" w:footer="0" w:header="0"/>
          <w:type w:val="continuous"/>
        </w:sectPr>
      </w:pPr>
    </w:p>
    <w:p>
      <w:pPr>
        <w:spacing w:after="0" w:line="8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006193"/>
        </w:rPr>
        <w:t xml:space="preserve">Jak długo powinienem go trzymać i czy mogę wcześnie zabrać pieniądze?</w:t>
      </w:r>
    </w:p>
    <w:p>
      <w:pPr>
        <w:spacing w:after="0" w:line="3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B72F2A"/>
        </w:rPr>
        <w:t xml:space="preserve">Zalecany okres przechowywania: 6 lat</w:t>
      </w:r>
    </w:p>
    <w:p>
      <w:pPr>
        <w:spacing w:after="0" w:line="3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right="320"/>
        <w:spacing w:after="0" w:line="23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Zalecany okres utrzymywania rezerwy opiera się na naszej ocenie ryzyka i korzyści oraz kosztów produktu.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Jednak ze względu na nieodłączną zmienność Bitcoin inwestorzy powinni stale monitorować wartość produktu.</w:t>
      </w:r>
    </w:p>
    <w:p>
      <w:pPr xmlns:w="http://schemas.openxmlformats.org/wordprocessingml/2006/main">
        <w:jc w:val="both"/>
        <w:ind w:right="320"/>
        <w:spacing w:after="0" w:line="23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414956"/>
        </w:rPr>
        <w:t xml:space="preserve">Harmonogram zamówień: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Inwestorzy mogą sprzedawać produkt bezpośrednio na rynku regulowanym, na którym jest notowany.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Możesz również sprzedać produkt w sklepie, składając wniosek o umorzenie do AP i dostarczając produkt do nich bezpłatnie, zgodnie z warunkami prospektu emisyjnego.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Po wykupie otrzymasz 0.0001 Bitcoinów za jednostkę, pomniejszoną o naliczone opłaty administracyjne w wysokości 0.75% rocznie, jak opisano powyżej.</w:t>
      </w:r>
    </w:p>
    <w:p>
      <w:pPr>
        <w:spacing w:after="0" w:line="30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006193"/>
        </w:rPr>
        <w:t xml:space="preserve">Jak mogę złożyć skargę?</w:t>
      </w:r>
    </w:p>
    <w:p>
      <w:pPr>
        <w:spacing w:after="0" w:line="3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right="500"/>
        <w:spacing w:after="0" w:line="23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Jeśli chcesz złożyć skargę na ten produkt, napisz do Fidelity Exchange Traded Products GmbH, Hohe Bleichen 18, 20354 Hamburg, Niemcy.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W przypadku jakichkolwiek skarg dotyczących sprzedaży i dystrybucji produktu prosimy o bezpośredni kontakt z pośrednikiem w celu ich rozpatrzenia.</w:t>
      </w:r>
    </w:p>
    <w:p>
      <w:pPr>
        <w:spacing w:after="0" w:line="15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006193"/>
        </w:rPr>
        <w:t xml:space="preserve">Inne istotne informacje</w:t>
      </w:r>
    </w:p>
    <w:p>
      <w:pPr>
        <w:spacing w:after="0" w:line="3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right="280"/>
        <w:spacing w:after="0" w:line="23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Prospekt emisyjny oraz dodatkowe dokumenty dotyczące produktu, w tym wszelkie suplementy i ostateczne warunki, można znaleźć na naszej stronie internetowej https://www.fidelityinternational.com/fidelity-physical-bitcoin-etp-legal-documentation/.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 Możesz również zażądać kopii takich dokumentów w siedzibie Fidelity Exchange Traded Products GmbH.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40"/>
        <w:spacing w:after="0" w:line="23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414956"/>
        </w:rPr>
        <w:t xml:space="preserve">Więcej informacji na temat przeszłych wyników produktu, w tym poprzednie obliczenia scenariusza wydajności, które są publikowane co miesiąc, można znaleźć na stronie https://www.priipsdocuments.com/Fidelity/?isin=XS2434891219&amp;lang=en&amp;kid=no.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5357495</wp:posOffset>
            </wp:positionH>
            <wp:positionV relativeFrom="paragraph">
              <wp:posOffset>1937385</wp:posOffset>
            </wp:positionV>
            <wp:extent cx="1367790" cy="42926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29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600"/>
          </w:cols>
          <w:pgMar w:left="640" w:top="80" w:right="666" w:bottom="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414956"/>
        </w:rPr>
        <w:t xml:space="preserve">3/3</w:t>
      </w:r>
    </w:p>
    <w:sectPr>
      <w:pgSz w:w="11900" w:h="16838" w:orient="portrait"/>
      <w:cols w:equalWidth="0" w:num="1">
        <w:col w:w="10600"/>
      </w:cols>
      <w:pgMar w:left="640" w:top="80" w:right="666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43CD53AA"/>
    <w:multiLevelType w:val="hybridMultilevel"/>
    <w:lvl w:ilvl="0">
      <w:lvlJc w:val="left"/>
      <w:lvlText w:val="•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jpeg"/><Relationship Id="rId17" Type="http://schemas.openxmlformats.org/officeDocument/2006/relationships/image" Target="media/image6.png"/><Relationship Id="rId18" Type="http://schemas.openxmlformats.org/officeDocument/2006/relationships/image" Target="media/image7.jpe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2024-05-21T08:37:37Z</dcterms:created>
  <dcterms:modified xsi:type="dcterms:W3CDTF">2024-05-21T08:37:37Z</dcterms:modified>
</cp:coreProperties>
</file>