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png" ContentType="image/png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 xmlns:w="http://schemas.openxmlformats.org/wordprocessingml/2006/main">
        <w:ind w:left="160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6"/>
          <w:szCs w:val="16"/>
          <w:b w:val="1"/>
          <w:bCs w:val="1"/>
          <w:color w:val="auto"/>
        </w:rPr>
        <mc:AlternateContent xmlns:mc="http://schemas.openxmlformats.org/markup-compatibility/2006" xmlns:w="http://schemas.openxmlformats.org/wordprocessingml/2006/main">
          <mc:Choice Requires="wps">
            <w:drawing>
              <wp:anchor xmlns:wp="http://schemas.openxmlformats.org/drawingml/2006/wordprocessingDrawing" simplePos="0" relativeHeight="251657728" behindDoc="1" locked="0" layoutInCell="0" allowOverlap="1">
                <wp:simplePos x="0" y="0"/>
                <wp:positionH relativeFrom="page">
                  <wp:posOffset>648335</wp:posOffset>
                </wp:positionH>
                <wp:positionV relativeFrom="page">
                  <wp:posOffset>386715</wp:posOffset>
                </wp:positionV>
                <wp:extent cx="0" cy="567055"/>
                <wp:wrapNone/>
                <wp:docPr id="1" name="Shap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4763" cy="56705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xmlns:v="urn:schemas-microsoft-com:vml" id="Shape 1" o:spid="_x0000_s1026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51.05pt,30.45pt" to="51.05pt,75.1pt" o:allowincell="f" strokecolor="#000000" strokeweight="0.5pt">
                <w10:wrap xmlns:w10="urn:schemas-microsoft-com:office:word" anchorx="page" anchory="page"/>
              </v:line>
            </w:pict>
          </mc:Fallback>
        </mc:AlternateContent>
      </w:r>
      <w:r>
        <w:rPr xmlns:w="http://schemas.openxmlformats.org/wordprocessingml/2006/main">
          <w:rFonts w:ascii="Arial" w:cs="Arial" w:eastAsia="Arial" w:hAnsi="Arial"/>
          <w:sz w:val="16"/>
          <w:szCs w:val="16"/>
          <w:b w:val="1"/>
          <w:bCs w:val="1"/>
          <w:color w:val="auto"/>
        </w:rPr>
        <mc:AlternateContent xmlns:mc="http://schemas.openxmlformats.org/markup-compatibility/2006" xmlns:w="http://schemas.openxmlformats.org/wordprocessingml/2006/main">
          <mc:Choice Requires="wps">
            <w:drawing>
              <wp:anchor xmlns:wp="http://schemas.openxmlformats.org/drawingml/2006/wordprocessingDrawing" simplePos="0" relativeHeight="251657728" behindDoc="1" locked="0" layoutInCell="0" allowOverlap="1">
                <wp:simplePos x="0" y="0"/>
                <wp:positionH relativeFrom="page">
                  <wp:posOffset>5779135</wp:posOffset>
                </wp:positionH>
                <wp:positionV relativeFrom="page">
                  <wp:posOffset>386715</wp:posOffset>
                </wp:positionV>
                <wp:extent cx="0" cy="567055"/>
                <wp:wrapNone/>
                <wp:docPr id="2" name="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4763" cy="56705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xmlns:v="urn:schemas-microsoft-com:vml" id="Shape 2" o:spid="_x0000_s1027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455.05pt,30.45pt" to="455.05pt,75.1pt" o:allowincell="f" strokecolor="#000000" strokeweight="0.5pt">
                <w10:wrap xmlns:w10="urn:schemas-microsoft-com:office:word" anchorx="page" anchory="page"/>
              </v:line>
            </w:pict>
          </mc:Fallback>
        </mc:AlternateContent>
      </w:r>
      <w:r>
        <w:rPr xmlns:w="http://schemas.openxmlformats.org/wordprocessingml/2006/main">
          <w:rFonts w:ascii="Arial" w:cs="Arial" w:eastAsia="Arial" w:hAnsi="Arial"/>
          <w:sz w:val="16"/>
          <w:szCs w:val="16"/>
          <w:b w:val="1"/>
          <w:bCs w:val="1"/>
          <w:color w:val="auto"/>
        </w:rPr>
        <w:drawing xmlns:w="http://schemas.openxmlformats.org/wordprocessingml/2006/main">
          <wp:anchor xmlns:wp="http://schemas.openxmlformats.org/drawingml/2006/wordprocessingDrawing" simplePos="0" relativeHeight="251657728" behindDoc="1" locked="0" layoutInCell="0" allowOverlap="1">
            <wp:simplePos x="0" y="0"/>
            <wp:positionH relativeFrom="page">
              <wp:posOffset>645160</wp:posOffset>
            </wp:positionH>
            <wp:positionV relativeFrom="page">
              <wp:posOffset>386715</wp:posOffset>
            </wp:positionV>
            <wp:extent cx="5608320" cy="32321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8320" cy="3232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 xmlns:w="http://schemas.openxmlformats.org/wordprocessingml/2006/main">
          <w:rFonts w:ascii="Arial" w:cs="Arial" w:eastAsia="Arial" w:hAnsi="Arial"/>
          <w:sz w:val="16"/>
          <w:szCs w:val="16"/>
          <w:b w:val="1"/>
          <w:bCs w:val="1"/>
          <w:color w:val="auto"/>
        </w:rPr>
        <w:t xml:space="preserve">Kluczowe informacje dla inwestorów w Wielkiej Brytanii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5605780</wp:posOffset>
            </wp:positionH>
            <wp:positionV relativeFrom="paragraph">
              <wp:posOffset>-40005</wp:posOffset>
            </wp:positionV>
            <wp:extent cx="592455" cy="201295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455" cy="2012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8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jc w:val="both"/>
        <w:ind w:left="160" w:right="2340"/>
        <w:spacing w:after="0" w:line="247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6"/>
          <w:szCs w:val="16"/>
          <w:color w:val="auto"/>
        </w:rPr>
        <w:t xml:space="preserve">Niniejszy dokument zawiera kluczowe informacje dla inwestorów na temat tego funduszu.</w:t>
      </w:r>
      <w:r>
        <w:rPr xmlns:w="http://schemas.openxmlformats.org/wordprocessingml/2006/main">
          <w:rFonts w:ascii="Arial" w:cs="Arial" w:eastAsia="Arial" w:hAnsi="Arial"/>
          <w:sz w:val="16"/>
          <w:szCs w:val="16"/>
          <w:color w:val="auto"/>
        </w:rPr>
        <w:t xml:space="preserve"> Nie jest to materiał marketingowy.</w:t>
      </w:r>
      <w:r>
        <w:rPr xmlns:w="http://schemas.openxmlformats.org/wordprocessingml/2006/main">
          <w:rFonts w:ascii="Arial" w:cs="Arial" w:eastAsia="Arial" w:hAnsi="Arial"/>
          <w:sz w:val="16"/>
          <w:szCs w:val="16"/>
          <w:color w:val="auto"/>
        </w:rPr>
        <w:t xml:space="preserve"> Informacje te są wymagane przez prawo, aby pomóc Ci zrozumieć charakter i ryzyko inwestowania w ten fundusz.</w:t>
      </w:r>
      <w:r>
        <w:rPr xmlns:w="http://schemas.openxmlformats.org/wordprocessingml/2006/main">
          <w:rFonts w:ascii="Arial" w:cs="Arial" w:eastAsia="Arial" w:hAnsi="Arial"/>
          <w:sz w:val="16"/>
          <w:szCs w:val="16"/>
          <w:color w:val="auto"/>
        </w:rPr>
        <w:t xml:space="preserve"> Zachęcamy do zapoznania się z nią, aby móc podjąć świadomą decyzję o ewentualnej inwestycji.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-1905</wp:posOffset>
            </wp:positionH>
            <wp:positionV relativeFrom="paragraph">
              <wp:posOffset>-125095</wp:posOffset>
            </wp:positionV>
            <wp:extent cx="6199505" cy="179705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9505" cy="1797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-1905</wp:posOffset>
            </wp:positionH>
            <wp:positionV relativeFrom="paragraph">
              <wp:posOffset>-125095</wp:posOffset>
            </wp:positionV>
            <wp:extent cx="6199505" cy="179705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9505" cy="1797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09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ind w:left="60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22"/>
          <w:szCs w:val="22"/>
          <w:b w:val="1"/>
          <w:bCs w:val="1"/>
          <w:color w:val="auto"/>
        </w:rPr>
        <w:t xml:space="preserve">Sztuczna inteligencja i Big Data UCITS ETF</w:t>
      </w:r>
    </w:p>
    <w:p>
      <w:pPr>
        <w:spacing w:after="0" w:line="22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ind w:left="60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22"/>
          <w:szCs w:val="22"/>
          <w:b w:val="1"/>
          <w:bCs w:val="1"/>
          <w:color w:val="auto"/>
        </w:rPr>
        <w:t xml:space="preserve">Klasa akcji: 1C, ISIN: IE00BGV5VN51, Kod zabezpieczeń: A2N6LC, Waluta: USD</w:t>
      </w:r>
    </w:p>
    <w:p>
      <w:pPr xmlns:w="http://schemas.openxmlformats.org/wordprocessingml/2006/main">
        <w:ind w:left="60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6"/>
          <w:szCs w:val="16"/>
          <w:color w:val="auto"/>
        </w:rPr>
        <w:t xml:space="preserve">subfundusz firmy Xtrackers (IE) plc.</w:t>
      </w:r>
      <w:r>
        <w:rPr xmlns:w="http://schemas.openxmlformats.org/wordprocessingml/2006/main">
          <w:rFonts w:ascii="Arial" w:cs="Arial" w:eastAsia="Arial" w:hAnsi="Arial"/>
          <w:sz w:val="16"/>
          <w:szCs w:val="16"/>
          <w:color w:val="auto"/>
        </w:rPr>
        <w:t xml:space="preserve"> Spółką zarządzającą jest DWS Investment S.A., członek Grupy DWS.</w:t>
      </w:r>
    </w:p>
    <w:p>
      <w:pPr>
        <w:spacing w:after="0" w:line="38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ind w:left="60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22"/>
          <w:szCs w:val="22"/>
          <w:b w:val="1"/>
          <w:bCs w:val="1"/>
          <w:color w:val="auto"/>
        </w:rPr>
        <w:t xml:space="preserve">Cele i polityka inwestycyjna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13970</wp:posOffset>
                </wp:positionH>
                <wp:positionV relativeFrom="paragraph">
                  <wp:posOffset>32385</wp:posOffset>
                </wp:positionV>
                <wp:extent cx="6396355" cy="0"/>
                <wp:wrapNone/>
                <wp:docPr id="7" name="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9635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EE7203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7" o:spid="_x0000_s1032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1.1pt,2.55pt" to="504.75pt,2.55pt" o:allowincell="f" strokecolor="#EE7203" strokeweight="1.5pt"/>
            </w:pict>
          </mc:Fallback>
        </mc:AlternateContent>
      </w:r>
    </w:p>
    <w:p>
      <w:pPr>
        <w:sectPr>
          <w:pgSz w:w="11900" w:h="16838" w:orient="portrait"/>
          <w:cols w:equalWidth="0" w:num="1">
            <w:col w:w="10020"/>
          </w:cols>
          <w:pgMar w:left="1020" w:top="626" w:right="866" w:bottom="195" w:gutter="0" w:footer="0" w:header="0"/>
        </w:sectPr>
      </w:pPr>
    </w:p>
    <w:p>
      <w:pPr>
        <w:spacing w:after="0" w:line="116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jc w:val="both"/>
        <w:ind w:left="60"/>
        <w:spacing w:after="0" w:line="258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5"/>
          <w:szCs w:val="15"/>
          <w:color w:val="auto"/>
        </w:rPr>
        <w:t xml:space="preserve">Fundusz jest zarządzany pasywnie.</w:t>
      </w:r>
      <w:r>
        <w:rPr xmlns:w="http://schemas.openxmlformats.org/wordprocessingml/2006/main">
          <w:rFonts w:ascii="Arial" w:cs="Arial" w:eastAsia="Arial" w:hAnsi="Arial"/>
          <w:sz w:val="15"/>
          <w:szCs w:val="15"/>
          <w:color w:val="auto"/>
        </w:rPr>
        <w:t xml:space="preserve"> Celem Twojej inwestycji jest śledzenie wydajności przed opłatami i wydatkami za Nasdaq Global Artificial Intelligence and Big Data Index (indeks).</w:t>
      </w:r>
      <w:r>
        <w:rPr xmlns:w="http://schemas.openxmlformats.org/wordprocessingml/2006/main">
          <w:rFonts w:ascii="Arial" w:cs="Arial" w:eastAsia="Arial" w:hAnsi="Arial"/>
          <w:sz w:val="15"/>
          <w:szCs w:val="15"/>
          <w:color w:val="auto"/>
        </w:rPr>
        <w:t xml:space="preserve"> Indeks ma na celu odzwierciedlenie wyników spółek z globalnych rynków rozwiniętych i wschodzących, które mają istotną ekspozycję na tematy związane ze sztuczną inteligencją, przetwarzaniem danych i bezpieczeństwem danych spełniających określone kryteria środowiskowe, społeczne i zarządcze (ESG).</w:t>
      </w:r>
      <w:r>
        <w:rPr xmlns:w="http://schemas.openxmlformats.org/wordprocessingml/2006/main">
          <w:rFonts w:ascii="Arial" w:cs="Arial" w:eastAsia="Arial" w:hAnsi="Arial"/>
          <w:sz w:val="15"/>
          <w:szCs w:val="15"/>
          <w:color w:val="auto"/>
        </w:rPr>
        <w:t xml:space="preserve"> Nasdaq stosuje proces przesiewowy i analityczny w celu identyfikacji składników indeksu.</w:t>
      </w:r>
      <w:r>
        <w:rPr xmlns:w="http://schemas.openxmlformats.org/wordprocessingml/2006/main">
          <w:rFonts w:ascii="Arial" w:cs="Arial" w:eastAsia="Arial" w:hAnsi="Arial"/>
          <w:sz w:val="15"/>
          <w:szCs w:val="15"/>
          <w:color w:val="auto"/>
        </w:rPr>
        <w:t xml:space="preserve"> Proces ten obejmuje między innymi analizę danych patentowych, wielkości rynku, wolumenu obrotu, notowań rynkowych i ograniczeń w zakresie własności zagranicznej.</w:t>
      </w:r>
      <w:r>
        <w:rPr xmlns:w="http://schemas.openxmlformats.org/wordprocessingml/2006/main">
          <w:rFonts w:ascii="Arial" w:cs="Arial" w:eastAsia="Arial" w:hAnsi="Arial"/>
          <w:sz w:val="15"/>
          <w:szCs w:val="15"/>
          <w:color w:val="auto"/>
        </w:rPr>
        <w:t xml:space="preserve"> W indeksie wykorzystywane są wskaźniki ryzyka ESG pochodzące od zewnętrznego dostawcy danych.</w:t>
      </w:r>
      <w:r>
        <w:rPr xmlns:w="http://schemas.openxmlformats.org/wordprocessingml/2006/main">
          <w:rFonts w:ascii="Arial" w:cs="Arial" w:eastAsia="Arial" w:hAnsi="Arial"/>
          <w:sz w:val="15"/>
          <w:szCs w:val="15"/>
          <w:color w:val="auto"/>
        </w:rPr>
        <w:t xml:space="preserve"> Ocena ryzyka ESG podzielona jest na pięć poziomów: znikomy (0-10), niski (10-20), średni (20-30), wysoki (30-40) i ciężki (40+).</w:t>
      </w:r>
      <w:r>
        <w:rPr xmlns:w="http://schemas.openxmlformats.org/wordprocessingml/2006/main">
          <w:rFonts w:ascii="Arial" w:cs="Arial" w:eastAsia="Arial" w:hAnsi="Arial"/>
          <w:sz w:val="15"/>
          <w:szCs w:val="15"/>
          <w:color w:val="auto"/>
        </w:rPr>
        <w:t xml:space="preserve"> Firmy nie mogą mieć wyniku w zakresie ryzyka ESG na poziomie 40 lub wyższym i muszą być również zgodne z zasadami ONZ Global Compact.</w:t>
      </w:r>
      <w:r>
        <w:rPr xmlns:w="http://schemas.openxmlformats.org/wordprocessingml/2006/main">
          <w:rFonts w:ascii="Arial" w:cs="Arial" w:eastAsia="Arial" w:hAnsi="Arial"/>
          <w:sz w:val="15"/>
          <w:szCs w:val="15"/>
          <w:color w:val="auto"/>
        </w:rPr>
        <w:t xml:space="preserve"> Z indeksu wyłączone są również przedsiębiorstwa zaangażowane w określone rodzaje wyrobów tytoniowych, węgiel termalny, piaski naftowe, broń kontrowersyjną, broń palną cywilną, broń strzelecką i kontrakty wojskowe, broń jądrową, zubożony uran, rozrywkę dla dorosłych lub hazard.</w:t>
      </w:r>
      <w:r>
        <w:rPr xmlns:w="http://schemas.openxmlformats.org/wordprocessingml/2006/main">
          <w:rFonts w:ascii="Arial" w:cs="Arial" w:eastAsia="Arial" w:hAnsi="Arial"/>
          <w:sz w:val="15"/>
          <w:szCs w:val="15"/>
          <w:color w:val="auto"/>
        </w:rPr>
        <w:t xml:space="preserve"> Następnie do indeksu wybieranych jest aż 100 papierów wartościowych o najwyższej intensywności i najwyższym średnim współczynniku skłonności spełniających kryteria ESG.</w:t>
      </w:r>
      <w:r>
        <w:rPr xmlns:w="http://schemas.openxmlformats.org/wordprocessingml/2006/main">
          <w:rFonts w:ascii="Arial" w:cs="Arial" w:eastAsia="Arial" w:hAnsi="Arial"/>
          <w:sz w:val="15"/>
          <w:szCs w:val="15"/>
          <w:color w:val="auto"/>
        </w:rPr>
        <w:t xml:space="preserve"> Indeks jest oparty na metodzie ważenia kapitalizacji rynkowej, a poszczególne papiery wartościowe są ograniczane do 4.5% w każdym półroczu</w:t>
      </w:r>
    </w:p>
    <w:p>
      <w:pPr xmlns:w="http://schemas.openxmlformats.org/wordprocessingml/2006/main">
        <w:spacing w:after="0" w:line="20" w:lineRule="exact"/>
        <w:rPr>
          <w:sz w:val="24"/>
          <w:szCs w:val="24"/>
          <w:color w:val="auto"/>
        </w:rPr>
      </w:pPr>
      <w:r>
        <w:rPr xmlns:w="http://schemas.openxmlformats.org/wordprocessingml/2006/main">
          <w:sz w:val="24"/>
          <w:szCs w:val="24"/>
          <w:color w:val="auto"/>
        </w:rPr>
        <w:br xmlns:w="http://schemas.openxmlformats.org/wordprocessingml/2006/main" w:type="column"/>
      </w:r>
    </w:p>
    <w:p>
      <w:pPr>
        <w:spacing w:after="0" w:line="96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jc w:val="both"/>
        <w:spacing w:after="0" w:line="241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6"/>
          <w:szCs w:val="16"/>
          <w:color w:val="auto"/>
        </w:rPr>
        <w:t xml:space="preserve">przywracanie równowagi.</w:t>
      </w:r>
      <w:r>
        <w:rPr xmlns:w="http://schemas.openxmlformats.org/wordprocessingml/2006/main">
          <w:rFonts w:ascii="Arial" w:cs="Arial" w:eastAsia="Arial" w:hAnsi="Arial"/>
          <w:sz w:val="16"/>
          <w:szCs w:val="16"/>
          <w:color w:val="auto"/>
        </w:rPr>
        <w:t xml:space="preserve"> Indeks jest obliczany na podstawie całkowitej stopy zwrotu netto.</w:t>
      </w:r>
      <w:r>
        <w:rPr xmlns:w="http://schemas.openxmlformats.org/wordprocessingml/2006/main">
          <w:rFonts w:ascii="Arial" w:cs="Arial" w:eastAsia="Arial" w:hAnsi="Arial"/>
          <w:sz w:val="16"/>
          <w:szCs w:val="16"/>
          <w:color w:val="auto"/>
        </w:rPr>
        <w:t xml:space="preserve"> Oznacza to, że wszystkie dywidendy i wypłaty przez spółki są reinwestowane w akcje po opodatkowaniu.</w:t>
      </w:r>
      <w:r>
        <w:rPr xmlns:w="http://schemas.openxmlformats.org/wordprocessingml/2006/main">
          <w:rFonts w:ascii="Arial" w:cs="Arial" w:eastAsia="Arial" w:hAnsi="Arial"/>
          <w:sz w:val="16"/>
          <w:szCs w:val="16"/>
          <w:color w:val="auto"/>
        </w:rPr>
        <w:t xml:space="preserve"> Indeks jest poddawany przeglądowi i jest co pół roku ponownie bilansowany, a w innych okresach może również podlegać ponownemu bilansowaniu w celu odzwierciedlenia działalności przedsiębiorstw, takiej jak fuzje i przejęcia.</w:t>
      </w:r>
      <w:r>
        <w:rPr xmlns:w="http://schemas.openxmlformats.org/wordprocessingml/2006/main">
          <w:rFonts w:ascii="Arial" w:cs="Arial" w:eastAsia="Arial" w:hAnsi="Arial"/>
          <w:sz w:val="16"/>
          <w:szCs w:val="16"/>
          <w:color w:val="auto"/>
        </w:rPr>
        <w:t xml:space="preserve"> Indeks jest obliczany codziennie w dolarach amerykańskich.</w:t>
      </w:r>
      <w:r>
        <w:rPr xmlns:w="http://schemas.openxmlformats.org/wordprocessingml/2006/main">
          <w:rFonts w:ascii="Arial" w:cs="Arial" w:eastAsia="Arial" w:hAnsi="Arial"/>
          <w:sz w:val="16"/>
          <w:szCs w:val="16"/>
          <w:color w:val="auto"/>
        </w:rPr>
        <w:t xml:space="preserve"> Aby osiągnąć ten cel, fundusz podejmie próbę odtworzenia indeksu, zanim pobierze opłaty i wydatki, poprzez zakup wszystkich lub znacznej liczby papierów wartościowych objętych indeksem.</w:t>
      </w:r>
      <w:r>
        <w:rPr xmlns:w="http://schemas.openxmlformats.org/wordprocessingml/2006/main">
          <w:rFonts w:ascii="Arial" w:cs="Arial" w:eastAsia="Arial" w:hAnsi="Arial"/>
          <w:sz w:val="16"/>
          <w:szCs w:val="16"/>
          <w:color w:val="auto"/>
        </w:rPr>
        <w:t xml:space="preserve"> Fundusz może stosować techniki i instrumenty w celu zarządzania ryzykiem, obniżenia kosztów i poprawy wyników.</w:t>
      </w:r>
      <w:r>
        <w:rPr xmlns:w="http://schemas.openxmlformats.org/wordprocessingml/2006/main">
          <w:rFonts w:ascii="Arial" w:cs="Arial" w:eastAsia="Arial" w:hAnsi="Arial"/>
          <w:sz w:val="16"/>
          <w:szCs w:val="16"/>
          <w:color w:val="auto"/>
        </w:rPr>
        <w:t xml:space="preserve"> Te techniki i instrumenty mogą obejmować stosowanie umów finansowych (instrumentów pochodnych).</w:t>
      </w:r>
      <w:r>
        <w:rPr xmlns:w="http://schemas.openxmlformats.org/wordprocessingml/2006/main">
          <w:rFonts w:ascii="Arial" w:cs="Arial" w:eastAsia="Arial" w:hAnsi="Arial"/>
          <w:sz w:val="16"/>
          <w:szCs w:val="16"/>
          <w:color w:val="auto"/>
        </w:rPr>
        <w:t xml:space="preserve"> Fundusz może również udzielać zabezpieczonych pożyczek na swoje inwestycje niektórym kwalifikującym się stronom trzecim w celu uzyskania dodatkowego dochodu, aby zrekompensować koszty funduszu.</w:t>
      </w:r>
      <w:r>
        <w:rPr xmlns:w="http://schemas.openxmlformats.org/wordprocessingml/2006/main">
          <w:rFonts w:ascii="Arial" w:cs="Arial" w:eastAsia="Arial" w:hAnsi="Arial"/>
          <w:sz w:val="16"/>
          <w:szCs w:val="16"/>
          <w:color w:val="auto"/>
        </w:rPr>
        <w:t xml:space="preserve"> Niektóre informacje (w tym najnowsze ceny akcji funduszu, orientacyjne wartości aktywów netto, pełne ujawnienie składu portfela funduszu oraz informacje o składnikach indeksu) są dostępne na lokalnej stronie DWS lub na stronie www.Xtrackers.com.</w:t>
      </w:r>
      <w:r>
        <w:rPr xmlns:w="http://schemas.openxmlformats.org/wordprocessingml/2006/main">
          <w:rFonts w:ascii="Arial" w:cs="Arial" w:eastAsia="Arial" w:hAnsi="Arial"/>
          <w:sz w:val="16"/>
          <w:szCs w:val="16"/>
          <w:color w:val="auto"/>
        </w:rPr>
        <w:t xml:space="preserve"> Koszty transakcyjne i podatki, niespodziewane koszty funduszu oraz warunki rynkowe, takie jak kwestie zmienności lub płynności, mogą mieć wpływ na zdolność funduszu do śledzenia indeksu.</w:t>
      </w:r>
      <w:r>
        <w:rPr xmlns:w="http://schemas.openxmlformats.org/wordprocessingml/2006/main">
          <w:rFonts w:ascii="Arial" w:cs="Arial" w:eastAsia="Arial" w:hAnsi="Arial"/>
          <w:sz w:val="16"/>
          <w:szCs w:val="16"/>
          <w:color w:val="auto"/>
        </w:rPr>
        <w:t xml:space="preserve"> Przewidywany poziom błędu śledzenia w normalnych warunkach rynkowych wynosi 2 procent.</w:t>
      </w:r>
      <w:r>
        <w:rPr xmlns:w="http://schemas.openxmlformats.org/wordprocessingml/2006/main">
          <w:rFonts w:ascii="Arial" w:cs="Arial" w:eastAsia="Arial" w:hAnsi="Arial"/>
          <w:sz w:val="16"/>
          <w:szCs w:val="16"/>
          <w:color w:val="auto"/>
        </w:rPr>
        <w:t xml:space="preserve"> Walutą funduszu jest USD.</w:t>
      </w:r>
      <w:r>
        <w:rPr xmlns:w="http://schemas.openxmlformats.org/wordprocessingml/2006/main">
          <w:rFonts w:ascii="Arial" w:cs="Arial" w:eastAsia="Arial" w:hAnsi="Arial"/>
          <w:sz w:val="16"/>
          <w:szCs w:val="16"/>
          <w:color w:val="auto"/>
        </w:rPr>
        <w:t xml:space="preserve"> Zyski nie są rozdzielane, lecz reinwestowane w fundusz.</w:t>
      </w:r>
      <w:r>
        <w:rPr xmlns:w="http://schemas.openxmlformats.org/wordprocessingml/2006/main">
          <w:rFonts w:ascii="Arial" w:cs="Arial" w:eastAsia="Arial" w:hAnsi="Arial"/>
          <w:sz w:val="16"/>
          <w:szCs w:val="16"/>
          <w:color w:val="auto"/>
        </w:rPr>
        <w:t xml:space="preserve"> Możesz żądać wykupu akcji zasadniczo codziennie.</w:t>
      </w:r>
    </w:p>
    <w:p>
      <w:pPr>
        <w:spacing w:after="0" w:line="35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4860" w:space="360"/>
            <w:col w:w="4800"/>
          </w:cols>
          <w:pgMar w:left="1020" w:top="626" w:right="866" w:bottom="195" w:gutter="0" w:footer="0" w:header="0"/>
          <w:type w:val="continuous"/>
        </w:sectPr>
      </w:pPr>
    </w:p>
    <w:p>
      <w:pPr xmlns:w="http://schemas.openxmlformats.org/wordprocessingml/2006/main">
        <w:ind w:left="60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21"/>
          <w:szCs w:val="21"/>
          <w:b w:val="1"/>
          <w:bCs w:val="1"/>
          <w:color w:val="auto"/>
        </w:rPr>
        <w:t xml:space="preserve">Profil ryzyka i zysku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13970</wp:posOffset>
                </wp:positionH>
                <wp:positionV relativeFrom="paragraph">
                  <wp:posOffset>40005</wp:posOffset>
                </wp:positionV>
                <wp:extent cx="6396355" cy="0"/>
                <wp:wrapNone/>
                <wp:docPr id="8" name="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9635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EE7203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8" o:spid="_x0000_s1033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1.1pt,3.15pt" to="504.75pt,3.15pt" o:allowincell="f" strokecolor="#EE7203" strokeweight="1.5pt"/>
            </w:pict>
          </mc:Fallback>
        </mc:AlternateContent>
      </w:r>
    </w:p>
    <w:p>
      <w:pPr>
        <w:sectPr>
          <w:pgSz w:w="11900" w:h="16838" w:orient="portrait"/>
          <w:cols w:equalWidth="0" w:num="1">
            <w:col w:w="10020"/>
          </w:cols>
          <w:pgMar w:left="1020" w:top="626" w:right="866" w:bottom="195" w:gutter="0" w:footer="0" w:header="0"/>
          <w:type w:val="continuous"/>
        </w:sectPr>
      </w:pPr>
    </w:p>
    <w:p>
      <w:pPr>
        <w:spacing w:after="0" w:line="132" w:lineRule="exact"/>
        <w:rPr>
          <w:sz w:val="24"/>
          <w:szCs w:val="24"/>
          <w:color w:val="auto"/>
        </w:rPr>
      </w:pPr>
    </w:p>
    <w:tbl>
      <w:tblPr>
        <w:tblLayout w:type="fixed"/>
        <w:tblInd w:w="11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33"/>
        </w:trPr>
        <w:tc>
          <w:tcPr>
            <w:tcW w:w="840" w:type="dxa"/>
            <w:vAlign w:val="bottom"/>
            <w:gridSpan w:val="2"/>
          </w:tcPr>
          <w:p>
            <w:pPr xmlns:w="http://schemas.openxmlformats.org/wordprocessingml/2006/main"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0"/>
                <w:szCs w:val="10"/>
                <w:color w:val="auto"/>
              </w:rPr>
              <w:t xml:space="preserve">Niższe ryzyko</w:t>
            </w: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80" w:type="dxa"/>
            <w:vAlign w:val="bottom"/>
            <w:gridSpan w:val="2"/>
          </w:tcPr>
          <w:p>
            <w:pPr xmlns:w="http://schemas.openxmlformats.org/wordprocessingml/2006/main">
              <w:jc w:val="right"/>
              <w:ind w:right="23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0"/>
                <w:szCs w:val="10"/>
                <w:color w:val="auto"/>
              </w:rPr>
              <w:t xml:space="preserve">Wyższe ryzyko</w:t>
            </w:r>
          </w:p>
        </w:tc>
      </w:tr>
      <w:tr>
        <w:trPr>
          <w:trHeight w:val="322"/>
        </w:trPr>
        <w:tc>
          <w:tcPr>
            <w:tcW w:w="1480" w:type="dxa"/>
            <w:vAlign w:val="bottom"/>
            <w:gridSpan w:val="4"/>
          </w:tcPr>
          <w:p>
            <w:pPr xmlns:w="http://schemas.openxmlformats.org/wordprocessingml/2006/main"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0"/>
                <w:szCs w:val="10"/>
                <w:color w:val="auto"/>
              </w:rPr>
              <w:t xml:space="preserve">Potencjalnie niższa nagroda</w:t>
            </w: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500" w:type="dxa"/>
            <w:vAlign w:val="bottom"/>
            <w:gridSpan w:val="4"/>
          </w:tcPr>
          <w:p>
            <w:pPr xmlns:w="http://schemas.openxmlformats.org/wordprocessingml/2006/main">
              <w:jc w:val="right"/>
              <w:ind w:right="23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0"/>
                <w:szCs w:val="10"/>
                <w:color w:val="auto"/>
              </w:rPr>
              <w:t xml:space="preserve">Potencjalnie wyższa nagroda</w:t>
            </w:r>
          </w:p>
        </w:tc>
      </w:tr>
      <w:tr>
        <w:trPr>
          <w:trHeight w:val="44"/>
        </w:trPr>
        <w:tc>
          <w:tcPr>
            <w:tcW w:w="6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</w:tr>
      <w:tr>
        <w:trPr>
          <w:trHeight w:val="210"/>
        </w:trPr>
        <w:tc>
          <w:tcPr>
            <w:tcW w:w="620" w:type="dxa"/>
            <w:vAlign w:val="bottom"/>
            <w:tcBorders>
              <w:left w:val="single" w:sz="8" w:color="auto"/>
              <w:bottom w:val="single" w:sz="8" w:color="auto"/>
              <w:right w:val="single" w:sz="8" w:color="auto"/>
            </w:tcBorders>
          </w:tcPr>
          <w:p>
            <w:pPr xmlns:w="http://schemas.openxmlformats.org/wordprocessingml/2006/main">
              <w:jc w:val="right"/>
              <w:ind w:right="197"/>
              <w:spacing w:after="0" w:line="210" w:lineRule="exact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auto"/>
              </w:rPr>
              <w:t xml:space="preserve">1</w:t>
            </w:r>
          </w:p>
        </w:tc>
        <w:tc>
          <w:tcPr>
            <w:tcW w:w="2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 xmlns:w="http://schemas.openxmlformats.org/wordprocessingml/2006/main">
              <w:jc w:val="right"/>
              <w:ind w:right="230"/>
              <w:spacing w:after="0" w:line="210" w:lineRule="exact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auto"/>
              </w:rPr>
              <w:t xml:space="preserve">2</w:t>
            </w:r>
          </w:p>
        </w:tc>
        <w:tc>
          <w:tcPr>
            <w:tcW w:w="1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 xmlns:w="http://schemas.openxmlformats.org/wordprocessingml/2006/main">
              <w:jc w:val="right"/>
              <w:ind w:right="230"/>
              <w:spacing w:after="0" w:line="210" w:lineRule="exact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auto"/>
              </w:rPr>
              <w:t xml:space="preserve">3</w:t>
            </w:r>
          </w:p>
        </w:tc>
        <w:tc>
          <w:tcPr>
            <w:tcW w:w="66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 xmlns:w="http://schemas.openxmlformats.org/wordprocessingml/2006/main">
              <w:jc w:val="right"/>
              <w:ind w:right="210"/>
              <w:spacing w:after="0" w:line="210" w:lineRule="exact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auto"/>
              </w:rPr>
              <w:t xml:space="preserve">4</w:t>
            </w:r>
          </w:p>
        </w:tc>
        <w:tc>
          <w:tcPr>
            <w:tcW w:w="460" w:type="dxa"/>
            <w:vAlign w:val="bottom"/>
            <w:tcBorders>
              <w:bottom w:val="single" w:sz="8" w:color="auto"/>
            </w:tcBorders>
          </w:tcPr>
          <w:p>
            <w:pPr xmlns:w="http://schemas.openxmlformats.org/wordprocessingml/2006/main">
              <w:jc w:val="right"/>
              <w:ind w:right="10"/>
              <w:spacing w:after="0" w:line="210" w:lineRule="exact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auto"/>
              </w:rPr>
              <w:t xml:space="preserve">5</w:t>
            </w:r>
          </w:p>
        </w:tc>
        <w:tc>
          <w:tcPr>
            <w:tcW w:w="18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bottom w:val="single" w:sz="8" w:color="auto"/>
            </w:tcBorders>
          </w:tcPr>
          <w:p>
            <w:pPr xmlns:w="http://schemas.openxmlformats.org/wordprocessingml/2006/main">
              <w:jc w:val="right"/>
              <w:spacing w:after="0" w:line="210" w:lineRule="exact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auto"/>
              </w:rPr>
              <w:t xml:space="preserve">6</w:t>
            </w:r>
          </w:p>
        </w:tc>
        <w:tc>
          <w:tcPr>
            <w:tcW w:w="22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 xmlns:w="http://schemas.openxmlformats.org/wordprocessingml/2006/main">
              <w:jc w:val="right"/>
              <w:ind w:right="210"/>
              <w:spacing w:after="0" w:line="210" w:lineRule="exact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auto"/>
              </w:rPr>
              <w:t xml:space="preserve">7</w:t>
            </w: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2170430</wp:posOffset>
            </wp:positionH>
            <wp:positionV relativeFrom="paragraph">
              <wp:posOffset>-145415</wp:posOffset>
            </wp:positionV>
            <wp:extent cx="407035" cy="139700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7035" cy="139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2881630</wp:posOffset>
            </wp:positionH>
            <wp:positionV relativeFrom="paragraph">
              <wp:posOffset>-385445</wp:posOffset>
            </wp:positionV>
            <wp:extent cx="121920" cy="113665"/>
            <wp:wrapNone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" cy="1136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71755</wp:posOffset>
            </wp:positionH>
            <wp:positionV relativeFrom="paragraph">
              <wp:posOffset>-384810</wp:posOffset>
            </wp:positionV>
            <wp:extent cx="121920" cy="113665"/>
            <wp:wrapNone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" cy="1136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920750</wp:posOffset>
            </wp:positionH>
            <wp:positionV relativeFrom="paragraph">
              <wp:posOffset>-332740</wp:posOffset>
            </wp:positionV>
            <wp:extent cx="1154430" cy="12700"/>
            <wp:wrapNone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4430" cy="12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76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jc w:val="both"/>
        <w:ind w:left="60"/>
        <w:spacing w:after="0" w:line="241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6"/>
          <w:szCs w:val="16"/>
          <w:color w:val="auto"/>
        </w:rPr>
        <w:t xml:space="preserve">Obliczenie profilu ryzyka i zysku opiera się na symulowanych danych, których nie można wykorzystać jako wiarygodnego wskaźnika dla przyszłego profilu ryzyka.</w:t>
      </w:r>
      <w:r>
        <w:rPr xmlns:w="http://schemas.openxmlformats.org/wordprocessingml/2006/main">
          <w:rFonts w:ascii="Arial" w:cs="Arial" w:eastAsia="Arial" w:hAnsi="Arial"/>
          <w:sz w:val="16"/>
          <w:szCs w:val="16"/>
          <w:color w:val="auto"/>
        </w:rPr>
        <w:t xml:space="preserve"> Ten wskaźnik ryzyka może ulec zmianie; klasyfikacja funduszu może zmieniać się w czasie i nie można jej zagwarantować.</w:t>
      </w:r>
      <w:r>
        <w:rPr xmlns:w="http://schemas.openxmlformats.org/wordprocessingml/2006/main">
          <w:rFonts w:ascii="Arial" w:cs="Arial" w:eastAsia="Arial" w:hAnsi="Arial"/>
          <w:sz w:val="16"/>
          <w:szCs w:val="16"/>
          <w:color w:val="auto"/>
        </w:rPr>
        <w:t xml:space="preserve"> Nawet fundusz sklasyfikowany w najniższej kategorii (kategoria 1) nie stanowi inwestycji całkowicie wolnej od ryzyka.</w:t>
      </w:r>
      <w:r>
        <w:rPr xmlns:w="http://schemas.openxmlformats.org/wordprocessingml/2006/main">
          <w:rFonts w:ascii="Arial" w:cs="Arial" w:eastAsia="Arial" w:hAnsi="Arial"/>
          <w:sz w:val="16"/>
          <w:szCs w:val="16"/>
          <w:color w:val="auto"/>
        </w:rPr>
        <w:t xml:space="preserve"> Fundusz jest zaklasyfikowany do kategorii 6, ponieważ jego cena akcji może ulegać znacznym wahaniom, w związku z czym prawdopodobieństwo zarówno strat, jak i zysków może być wysokie.</w:t>
      </w:r>
      <w:r>
        <w:rPr xmlns:w="http://schemas.openxmlformats.org/wordprocessingml/2006/main">
          <w:rFonts w:ascii="Arial" w:cs="Arial" w:eastAsia="Arial" w:hAnsi="Arial"/>
          <w:sz w:val="16"/>
          <w:szCs w:val="16"/>
          <w:color w:val="auto"/>
        </w:rPr>
        <w:t xml:space="preserve"> Szczególne znaczenie dla funduszu mogą mieć następujące rodzaje ryzyka: Fundusz podejmie próbę odtworzenia wyników indeksu po niższych kosztach, ale nie oczekuje się, że inwestycja dokładnie dorówna wynikom indeksu.</w:t>
      </w:r>
      <w:r>
        <w:rPr xmlns:w="http://schemas.openxmlformats.org/wordprocessingml/2006/main">
          <w:rFonts w:ascii="Arial" w:cs="Arial" w:eastAsia="Arial" w:hAnsi="Arial"/>
          <w:sz w:val="16"/>
          <w:szCs w:val="16"/>
          <w:color w:val="auto"/>
        </w:rPr>
        <w:t xml:space="preserve"> Mogą zaistnieć wyjątkowe okoliczności, takie jak, między innymi, zakłócające warunki rynkowe, dodatkowe koszty/podatki lub skrajnie niestabilne rynki, które mogą spowodować, że wyniki funduszu będą zasadniczo różne od wyników indeksu.</w:t>
      </w:r>
      <w:r>
        <w:rPr xmlns:w="http://schemas.openxmlformats.org/wordprocessingml/2006/main">
          <w:rFonts w:ascii="Arial" w:cs="Arial" w:eastAsia="Arial" w:hAnsi="Arial"/>
          <w:sz w:val="16"/>
          <w:szCs w:val="16"/>
          <w:color w:val="auto"/>
        </w:rPr>
        <w:t xml:space="preserve"> Podmioty należące do DWS i spółki powiązane mogą pełnić kilka ról w stosunku do funduszu, takich jak dystrybutor i spółka zarządzająca, które mogą wiązać się z konfliktem interesów.</w:t>
      </w:r>
      <w:r>
        <w:rPr xmlns:w="http://schemas.openxmlformats.org/wordprocessingml/2006/main">
          <w:rFonts w:ascii="Arial" w:cs="Arial" w:eastAsia="Arial" w:hAnsi="Arial"/>
          <w:sz w:val="16"/>
          <w:szCs w:val="16"/>
          <w:color w:val="auto"/>
        </w:rPr>
        <w:t xml:space="preserve"> Fundusz nie jest gwarantowany, a Twoja inwestycja jest zagrożona.</w:t>
      </w:r>
      <w:r>
        <w:rPr xmlns:w="http://schemas.openxmlformats.org/wordprocessingml/2006/main">
          <w:rFonts w:ascii="Arial" w:cs="Arial" w:eastAsia="Arial" w:hAnsi="Arial"/>
          <w:sz w:val="16"/>
          <w:szCs w:val="16"/>
          <w:color w:val="auto"/>
        </w:rPr>
        <w:t xml:space="preserve"> Wartość Twojej inwestycji może spaść równie dobrze jak w górę.</w:t>
      </w:r>
      <w:r>
        <w:rPr xmlns:w="http://schemas.openxmlformats.org/wordprocessingml/2006/main">
          <w:rFonts w:ascii="Arial" w:cs="Arial" w:eastAsia="Arial" w:hAnsi="Arial"/>
          <w:sz w:val="16"/>
          <w:szCs w:val="16"/>
          <w:color w:val="auto"/>
        </w:rPr>
        <w:t xml:space="preserve"> Wartość inwestycji w akcje będzie zależeć od wielu czynników, w tym między innymi od warunków rynkowych i gospodarczych, sektora, regionu geograficznego i wydarzeń politycznych.</w:t>
      </w:r>
      <w:r>
        <w:rPr xmlns:w="http://schemas.openxmlformats.org/wordprocessingml/2006/main">
          <w:rFonts w:ascii="Arial" w:cs="Arial" w:eastAsia="Arial" w:hAnsi="Arial"/>
          <w:sz w:val="16"/>
          <w:szCs w:val="16"/>
          <w:color w:val="auto"/>
        </w:rPr>
        <w:t xml:space="preserve"> Fundusz koncentruje się na pojedynczym lub wąskim zakresie branż, sektorów lub rodzajów</w:t>
      </w:r>
    </w:p>
    <w:p>
      <w:pPr xmlns:w="http://schemas.openxmlformats.org/wordprocessingml/2006/main">
        <w:spacing w:after="0" w:line="20" w:lineRule="exact"/>
        <w:rPr>
          <w:sz w:val="24"/>
          <w:szCs w:val="24"/>
          <w:color w:val="auto"/>
        </w:rPr>
      </w:pPr>
      <w:r>
        <w:rPr xmlns:w="http://schemas.openxmlformats.org/wordprocessingml/2006/main">
          <w:sz w:val="24"/>
          <w:szCs w:val="24"/>
          <w:color w:val="auto"/>
        </w:rPr>
        <w:br xmlns:w="http://schemas.openxmlformats.org/wordprocessingml/2006/main" w:type="column"/>
      </w:r>
    </w:p>
    <w:p>
      <w:pPr>
        <w:spacing w:after="0" w:line="108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jc w:val="both"/>
        <w:ind w:right="40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6"/>
          <w:szCs w:val="16"/>
          <w:color w:val="auto"/>
        </w:rPr>
        <w:t xml:space="preserve">Przedsiębiorstwa i wyniki mogą nie odzwierciedlać wzrostu na szerszych rynkach.</w:t>
      </w:r>
      <w:r>
        <w:rPr xmlns:w="http://schemas.openxmlformats.org/wordprocessingml/2006/main">
          <w:rFonts w:ascii="Arial" w:cs="Arial" w:eastAsia="Arial" w:hAnsi="Arial"/>
          <w:sz w:val="16"/>
          <w:szCs w:val="16"/>
          <w:color w:val="auto"/>
        </w:rPr>
        <w:t xml:space="preserve"> Kryteria kwalifikacji pod kątem ESG są wpisane w proces selekcji indeksów, który ma na celu wyłączenie papierów wartościowych emitowanych przez spółki prowadzące określoną działalność.</w:t>
      </w:r>
      <w:r>
        <w:rPr xmlns:w="http://schemas.openxmlformats.org/wordprocessingml/2006/main">
          <w:rFonts w:ascii="Arial" w:cs="Arial" w:eastAsia="Arial" w:hAnsi="Arial"/>
          <w:sz w:val="16"/>
          <w:szCs w:val="16"/>
          <w:color w:val="auto"/>
        </w:rPr>
        <w:t xml:space="preserve"> Zarządzający inwestycjami i zarządzający subportfelem nie są odpowiedzialni za monitorowanie procesu screeningu ani za potwierdzenie, że wszystkie papiery wartościowe, które przejdą pozytywnie proces screeningu, są emitowane przez spółki o odpowiednich standardach ESG.</w:t>
      </w:r>
      <w:r>
        <w:rPr xmlns:w="http://schemas.openxmlformats.org/wordprocessingml/2006/main">
          <w:rFonts w:ascii="Arial" w:cs="Arial" w:eastAsia="Arial" w:hAnsi="Arial"/>
          <w:sz w:val="16"/>
          <w:szCs w:val="16"/>
          <w:color w:val="auto"/>
        </w:rPr>
        <w:t xml:space="preserve"> Spółka opiera się wyłącznie na działaniach prowadzonych przez administratora indeksu lub innych dostarczycieli danych i informacjach przekazanych przez nich na potrzeby badania ESG.</w:t>
      </w:r>
      <w:r>
        <w:rPr xmlns:w="http://schemas.openxmlformats.org/wordprocessingml/2006/main">
          <w:rFonts w:ascii="Arial" w:cs="Arial" w:eastAsia="Arial" w:hAnsi="Arial"/>
          <w:sz w:val="16"/>
          <w:szCs w:val="16"/>
          <w:color w:val="auto"/>
        </w:rPr>
        <w:t xml:space="preserve"> Informacje ESG pochodzące od zewnętrznych dostawców danych mogą być niekompletne, niedokładne lub niedostępne.</w:t>
      </w:r>
      <w:r>
        <w:rPr xmlns:w="http://schemas.openxmlformats.org/wordprocessingml/2006/main">
          <w:rFonts w:ascii="Arial" w:cs="Arial" w:eastAsia="Arial" w:hAnsi="Arial"/>
          <w:sz w:val="16"/>
          <w:szCs w:val="16"/>
          <w:color w:val="auto"/>
        </w:rPr>
        <w:t xml:space="preserve"> W rezultacie istnieje ryzyko, że administrator indeksu może błędnie ocenić papier wartościowy lub emitenta, co skutkuje nieprawidłowym włączeniem lub wykluczeniem papieru wartościowego do indeksu.</w:t>
      </w:r>
      <w:r>
        <w:rPr xmlns:w="http://schemas.openxmlformats.org/wordprocessingml/2006/main">
          <w:rFonts w:ascii="Arial" w:cs="Arial" w:eastAsia="Arial" w:hAnsi="Arial"/>
          <w:sz w:val="16"/>
          <w:szCs w:val="16"/>
          <w:color w:val="auto"/>
        </w:rPr>
        <w:t xml:space="preserve"> Fundusz jest narażony na mniej rozwinięte gospodarczo gospodarki (tzw. rynki wschodzące), które wiążą się z większym ryzykiem niż gospodarki dobrze rozwinięte.</w:t>
      </w:r>
      <w:r>
        <w:rPr xmlns:w="http://schemas.openxmlformats.org/wordprocessingml/2006/main">
          <w:rFonts w:ascii="Arial" w:cs="Arial" w:eastAsia="Arial" w:hAnsi="Arial"/>
          <w:sz w:val="16"/>
          <w:szCs w:val="16"/>
          <w:color w:val="auto"/>
        </w:rPr>
        <w:t xml:space="preserve"> Bardziej prawdopodobne mogą być niepokoje polityczne i pogorszenie koniunktury gospodarczej, które wpłyną na wartość inwestycji.</w:t>
      </w:r>
      <w:r>
        <w:rPr xmlns:w="http://schemas.openxmlformats.org/wordprocessingml/2006/main">
          <w:rFonts w:ascii="Arial" w:cs="Arial" w:eastAsia="Arial" w:hAnsi="Arial"/>
          <w:sz w:val="16"/>
          <w:szCs w:val="16"/>
          <w:color w:val="auto"/>
        </w:rPr>
        <w:t xml:space="preserve"> Indeks ten opiera się na zasadach i nie można go dostosować do zmieniających się warunków rynkowych.</w:t>
      </w:r>
      <w:r>
        <w:rPr xmlns:w="http://schemas.openxmlformats.org/wordprocessingml/2006/main">
          <w:rFonts w:ascii="Arial" w:cs="Arial" w:eastAsia="Arial" w:hAnsi="Arial"/>
          <w:sz w:val="16"/>
          <w:szCs w:val="16"/>
          <w:color w:val="auto"/>
        </w:rPr>
        <w:t xml:space="preserve"> W związku z tym w zmieniających się warunkach rynkowych brak takich dostosowań może mieć negatywny wpływ na użytkownika lub może nie przynieść mu korzyści.</w:t>
      </w:r>
      <w:r>
        <w:rPr xmlns:w="http://schemas.openxmlformats.org/wordprocessingml/2006/main">
          <w:rFonts w:ascii="Arial" w:cs="Arial" w:eastAsia="Arial" w:hAnsi="Arial"/>
          <w:sz w:val="16"/>
          <w:szCs w:val="16"/>
          <w:color w:val="auto"/>
        </w:rPr>
        <w:t xml:space="preserve"> Fundusz może wykorzystywać instrumenty pochodne, aby skuteczniej zarządzać swoimi inwestycjami.</w:t>
      </w:r>
      <w:r>
        <w:rPr xmlns:w="http://schemas.openxmlformats.org/wordprocessingml/2006/main">
          <w:rFonts w:ascii="Arial" w:cs="Arial" w:eastAsia="Arial" w:hAnsi="Arial"/>
          <w:sz w:val="16"/>
          <w:szCs w:val="16"/>
          <w:color w:val="auto"/>
        </w:rPr>
        <w:t xml:space="preserve"> Może to nie zawsze być skuteczne i może prowadzić do większych wahań wartości funduszu.</w:t>
      </w:r>
      <w:r>
        <w:rPr xmlns:w="http://schemas.openxmlformats.org/wordprocessingml/2006/main">
          <w:rFonts w:ascii="Arial" w:cs="Arial" w:eastAsia="Arial" w:hAnsi="Arial"/>
          <w:sz w:val="16"/>
          <w:szCs w:val="16"/>
          <w:color w:val="auto"/>
        </w:rPr>
        <w:t xml:space="preserve"> Może to negatywnie wpłynąć na wartość funduszu i Państwa inwestycji.</w:t>
      </w:r>
    </w:p>
    <w:p>
      <w:pPr>
        <w:spacing w:after="0" w:line="16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spacing w:after="0" w:line="254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6"/>
          <w:szCs w:val="16"/>
          <w:color w:val="auto"/>
        </w:rPr>
        <w:t xml:space="preserve">Bardziej szczegółowy opis ryzyk i inne ogólne informacje można znaleźć w sekcji (sekcjach) ryzyka prospektu emisyjnego.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4820" w:space="400"/>
            <w:col w:w="4800"/>
          </w:cols>
          <w:pgMar w:left="1020" w:top="626" w:right="866" w:bottom="195" w:gutter="0" w:footer="0" w:header="0"/>
          <w:type w:val="continuous"/>
        </w:sectPr>
      </w:pPr>
    </w:p>
    <w:p>
      <w:pPr>
        <w:spacing w:after="0" w:line="42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ind w:left="60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22"/>
          <w:szCs w:val="22"/>
          <w:b w:val="1"/>
          <w:bCs w:val="1"/>
          <w:color w:val="auto"/>
        </w:rPr>
        <w:t xml:space="preserve">Opłaty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13970</wp:posOffset>
                </wp:positionH>
                <wp:positionV relativeFrom="paragraph">
                  <wp:posOffset>32385</wp:posOffset>
                </wp:positionV>
                <wp:extent cx="6396355" cy="0"/>
                <wp:wrapNone/>
                <wp:docPr id="13" name="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9635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EE7203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3" o:spid="_x0000_s1038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1.1pt,2.55pt" to="504.75pt,2.55pt" o:allowincell="f" strokecolor="#EE7203" strokeweight="1.5pt"/>
            </w:pict>
          </mc:Fallback>
        </mc:AlternateContent>
      </w:r>
    </w:p>
    <w:p>
      <w:pPr>
        <w:spacing w:after="0" w:line="96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ind w:left="60" w:right="40"/>
        <w:spacing w:after="0" w:line="250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6"/>
          <w:szCs w:val="16"/>
          <w:color w:val="auto"/>
        </w:rPr>
        <w:t xml:space="preserve">Opłaty, które ponosisz służą pokryciu kosztów prowadzenia funduszu, w tym kosztów jego marketingu i dystrybucji.</w:t>
      </w:r>
      <w:r>
        <w:rPr xmlns:w="http://schemas.openxmlformats.org/wordprocessingml/2006/main">
          <w:rFonts w:ascii="Arial" w:cs="Arial" w:eastAsia="Arial" w:hAnsi="Arial"/>
          <w:sz w:val="16"/>
          <w:szCs w:val="16"/>
          <w:color w:val="auto"/>
        </w:rPr>
        <w:t xml:space="preserve"> Opłaty te zmniejszają potencjalny wzrost Państwa inwestycji.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1270</wp:posOffset>
            </wp:positionH>
            <wp:positionV relativeFrom="paragraph">
              <wp:posOffset>-2540</wp:posOffset>
            </wp:positionV>
            <wp:extent cx="3599815" cy="1225550"/>
            <wp:wrapNone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99815" cy="12255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ectPr>
          <w:pgSz w:w="11900" w:h="16838" w:orient="portrait"/>
          <w:cols w:equalWidth="0" w:num="1">
            <w:col w:w="10020"/>
          </w:cols>
          <w:pgMar w:left="1020" w:top="626" w:right="866" w:bottom="195" w:gutter="0" w:footer="0" w:header="0"/>
          <w:type w:val="continuous"/>
        </w:sectPr>
      </w:pPr>
    </w:p>
    <w:p>
      <w:pPr>
        <w:spacing w:after="0" w:line="1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ind w:left="160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6"/>
          <w:szCs w:val="16"/>
          <w:color w:val="auto"/>
        </w:rPr>
        <w:t xml:space="preserve">Jednorazowe opłaty pobierane przed lub po dokonaniu inwestycji</w:t>
      </w:r>
    </w:p>
    <w:p>
      <w:pPr>
        <w:spacing w:after="0" w:line="5" w:lineRule="exact"/>
        <w:rPr>
          <w:sz w:val="24"/>
          <w:szCs w:val="24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74"/>
        </w:trPr>
        <w:tc>
          <w:tcPr>
            <w:tcW w:w="2980" w:type="dxa"/>
            <w:vAlign w:val="bottom"/>
            <w:tcBorders>
              <w:top w:val="single" w:sz="8" w:color="auto"/>
              <w:bottom w:val="single" w:sz="8" w:color="auto"/>
              <w:right w:val="single" w:sz="8" w:color="auto"/>
            </w:tcBorders>
          </w:tcPr>
          <w:p>
            <w:pPr xmlns:w="http://schemas.openxmlformats.org/wordprocessingml/2006/main">
              <w:ind w:left="160"/>
              <w:spacing w:after="0" w:line="174" w:lineRule="exact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b w:val="1"/>
                <w:bCs w:val="1"/>
                <w:color w:val="auto"/>
              </w:rPr>
              <w:t xml:space="preserve">Opłata za wjazd</w:t>
            </w:r>
          </w:p>
        </w:tc>
        <w:tc>
          <w:tcPr>
            <w:tcW w:w="2720" w:type="dxa"/>
            <w:vAlign w:val="bottom"/>
            <w:tcBorders>
              <w:top w:val="single" w:sz="8" w:color="auto"/>
              <w:bottom w:val="single" w:sz="8" w:color="auto"/>
            </w:tcBorders>
          </w:tcPr>
          <w:p>
            <w:pPr xmlns:w="http://schemas.openxmlformats.org/wordprocessingml/2006/main">
              <w:ind w:left="160"/>
              <w:spacing w:after="0" w:line="174" w:lineRule="exact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color w:val="auto"/>
              </w:rPr>
              <w:t xml:space="preserve">Brak</w:t>
            </w:r>
          </w:p>
        </w:tc>
      </w:tr>
      <w:tr>
        <w:trPr>
          <w:trHeight w:val="174"/>
        </w:trPr>
        <w:tc>
          <w:tcPr>
            <w:tcW w:w="298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 xmlns:w="http://schemas.openxmlformats.org/wordprocessingml/2006/main">
              <w:ind w:left="160"/>
              <w:spacing w:after="0" w:line="174" w:lineRule="exact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b w:val="1"/>
                <w:bCs w:val="1"/>
                <w:color w:val="auto"/>
              </w:rPr>
              <w:t xml:space="preserve">Opłata za wyjście</w:t>
            </w:r>
          </w:p>
        </w:tc>
        <w:tc>
          <w:tcPr>
            <w:tcW w:w="2720" w:type="dxa"/>
            <w:vAlign w:val="bottom"/>
            <w:tcBorders>
              <w:bottom w:val="single" w:sz="8" w:color="auto"/>
            </w:tcBorders>
          </w:tcPr>
          <w:p>
            <w:pPr xmlns:w="http://schemas.openxmlformats.org/wordprocessingml/2006/main">
              <w:ind w:left="160"/>
              <w:spacing w:after="0" w:line="174" w:lineRule="exact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color w:val="auto"/>
              </w:rPr>
              <w:t xml:space="preserve">Brak</w:t>
            </w:r>
          </w:p>
        </w:tc>
      </w:tr>
    </w:tbl>
    <w:p>
      <w:pPr xmlns:w="http://schemas.openxmlformats.org/wordprocessingml/2006/main">
        <w:ind w:left="160" w:right="120"/>
        <w:spacing w:after="0" w:line="246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6"/>
          <w:szCs w:val="16"/>
          <w:color w:val="auto"/>
        </w:rPr>
        <w:t xml:space="preserve">Jest to maksymalna kwota, która może zostać pobrana z Twoich pieniędzy przed ich zainwestowaniem (opłata za wejście) i przed wypłaceniem wpływów z Twojej inwestycji (opłata za wyjście).</w:t>
      </w:r>
    </w:p>
    <w:p>
      <w:pPr xmlns:w="http://schemas.openxmlformats.org/wordprocessingml/2006/main">
        <w:ind w:left="160"/>
        <w:spacing w:after="0" w:line="235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6"/>
          <w:szCs w:val="16"/>
          <w:color w:val="auto"/>
        </w:rPr>
        <w:t xml:space="preserve">Opłaty pobrane z funduszu w ciągu roku</w:t>
      </w: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74"/>
        </w:trPr>
        <w:tc>
          <w:tcPr>
            <w:tcW w:w="2980" w:type="dxa"/>
            <w:vAlign w:val="bottom"/>
            <w:tcBorders>
              <w:top w:val="single" w:sz="8" w:color="auto"/>
              <w:bottom w:val="single" w:sz="8" w:color="auto"/>
              <w:right w:val="single" w:sz="8" w:color="auto"/>
            </w:tcBorders>
          </w:tcPr>
          <w:p>
            <w:pPr xmlns:w="http://schemas.openxmlformats.org/wordprocessingml/2006/main">
              <w:ind w:left="160"/>
              <w:spacing w:after="0" w:line="174" w:lineRule="exact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b w:val="1"/>
                <w:bCs w:val="1"/>
                <w:color w:val="auto"/>
              </w:rPr>
              <w:t xml:space="preserve">Bieżące opłaty</w:t>
            </w:r>
          </w:p>
        </w:tc>
        <w:tc>
          <w:tcPr>
            <w:tcW w:w="2720" w:type="dxa"/>
            <w:vAlign w:val="bottom"/>
            <w:tcBorders>
              <w:top w:val="single" w:sz="8" w:color="auto"/>
              <w:bottom w:val="single" w:sz="8" w:color="auto"/>
            </w:tcBorders>
          </w:tcPr>
          <w:p>
            <w:pPr xmlns:w="http://schemas.openxmlformats.org/wordprocessingml/2006/main">
              <w:jc w:val="right"/>
              <w:ind w:right="1960"/>
              <w:spacing w:after="0" w:line="174" w:lineRule="exact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color w:val="auto"/>
              </w:rPr>
              <w:t xml:space="preserve">0,35%</w:t>
            </w:r>
          </w:p>
        </w:tc>
      </w:tr>
    </w:tbl>
    <w:p>
      <w:pPr xmlns:w="http://schemas.openxmlformats.org/wordprocessingml/2006/main">
        <w:ind w:left="160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6"/>
          <w:szCs w:val="16"/>
          <w:color w:val="auto"/>
        </w:rPr>
        <w:t xml:space="preserve">Opłaty pobrane z funduszu na określonych warunkach</w:t>
      </w: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74"/>
        </w:trPr>
        <w:tc>
          <w:tcPr>
            <w:tcW w:w="2980" w:type="dxa"/>
            <w:vAlign w:val="bottom"/>
            <w:tcBorders>
              <w:top w:val="single" w:sz="8" w:color="auto"/>
              <w:bottom w:val="single" w:sz="8" w:color="auto"/>
              <w:right w:val="single" w:sz="8" w:color="auto"/>
            </w:tcBorders>
          </w:tcPr>
          <w:p>
            <w:pPr xmlns:w="http://schemas.openxmlformats.org/wordprocessingml/2006/main">
              <w:ind w:left="160"/>
              <w:spacing w:after="0" w:line="174" w:lineRule="exact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b w:val="1"/>
                <w:bCs w:val="1"/>
                <w:color w:val="auto"/>
              </w:rPr>
              <w:t xml:space="preserve">Opłata za wyniki</w:t>
            </w:r>
          </w:p>
        </w:tc>
        <w:tc>
          <w:tcPr>
            <w:tcW w:w="2720" w:type="dxa"/>
            <w:vAlign w:val="bottom"/>
            <w:tcBorders>
              <w:top w:val="single" w:sz="8" w:color="auto"/>
              <w:bottom w:val="single" w:sz="8" w:color="auto"/>
            </w:tcBorders>
          </w:tcPr>
          <w:p>
            <w:pPr xmlns:w="http://schemas.openxmlformats.org/wordprocessingml/2006/main">
              <w:ind w:left="160"/>
              <w:spacing w:after="0" w:line="174" w:lineRule="exact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color w:val="auto"/>
              </w:rPr>
              <w:t xml:space="preserve">Brak</w:t>
            </w:r>
          </w:p>
        </w:tc>
      </w:tr>
    </w:tbl>
    <w:p>
      <w:pPr xmlns:w="http://schemas.openxmlformats.org/wordprocessingml/2006/main">
        <w:spacing w:after="0" w:line="20" w:lineRule="exact"/>
        <w:rPr>
          <w:sz w:val="24"/>
          <w:szCs w:val="24"/>
          <w:color w:val="auto"/>
        </w:rPr>
      </w:pPr>
      <w:r>
        <w:rPr xmlns:w="http://schemas.openxmlformats.org/wordprocessingml/2006/main">
          <w:sz w:val="24"/>
          <w:szCs w:val="24"/>
          <w:color w:val="auto"/>
        </w:rPr>
        <w:br xmlns:w="http://schemas.openxmlformats.org/wordprocessingml/2006/main" w:type="column"/>
      </w:r>
    </w:p>
    <w:p>
      <w:pPr xmlns:w="http://schemas.openxmlformats.org/wordprocessingml/2006/main">
        <w:jc w:val="both"/>
        <w:ind w:right="40"/>
        <w:spacing w:after="0" w:line="239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6"/>
          <w:szCs w:val="16"/>
          <w:color w:val="auto"/>
        </w:rPr>
        <w:t xml:space="preserve">Inwestorzy na rynku wtórnym (ci, którzy kupują lub sprzedają akcje na giełdzie) mogą zostać obciążeni pewnymi opłatami przez swojego maklera giełdowego.</w:t>
      </w:r>
      <w:r>
        <w:rPr xmlns:w="http://schemas.openxmlformats.org/wordprocessingml/2006/main">
          <w:rFonts w:ascii="Arial" w:cs="Arial" w:eastAsia="Arial" w:hAnsi="Arial"/>
          <w:sz w:val="16"/>
          <w:szCs w:val="16"/>
          <w:color w:val="auto"/>
        </w:rPr>
        <w:t xml:space="preserve"> Opłaty te, jeśli takie istnieją, można uzyskać od takiego brokera akcji.</w:t>
      </w:r>
      <w:r>
        <w:rPr xmlns:w="http://schemas.openxmlformats.org/wordprocessingml/2006/main">
          <w:rFonts w:ascii="Arial" w:cs="Arial" w:eastAsia="Arial" w:hAnsi="Arial"/>
          <w:sz w:val="16"/>
          <w:szCs w:val="16"/>
          <w:color w:val="auto"/>
        </w:rPr>
        <w:t xml:space="preserve"> Upoważnieni uczestnicy mający bezpośredni kontakt z funduszem pokryją koszty transakcyjne związane z ich subskrypcjami i umorzeniami.</w:t>
      </w:r>
    </w:p>
    <w:p>
      <w:pPr>
        <w:spacing w:after="0" w:line="5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jc w:val="both"/>
        <w:ind w:right="40"/>
        <w:spacing w:after="0" w:line="239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6"/>
          <w:szCs w:val="16"/>
          <w:color w:val="auto"/>
        </w:rPr>
        <w:t xml:space="preserve">Bieżąca kwota opłat opiera się na wydatkach za rok obrotowy kończący się 31.12.2022 r.</w:t>
      </w:r>
      <w:r>
        <w:rPr xmlns:w="http://schemas.openxmlformats.org/wordprocessingml/2006/main">
          <w:rFonts w:ascii="Arial" w:cs="Arial" w:eastAsia="Arial" w:hAnsi="Arial"/>
          <w:sz w:val="16"/>
          <w:szCs w:val="16"/>
          <w:color w:val="auto"/>
        </w:rPr>
        <w:t xml:space="preserve"> Może się ona różnić w zależności od roku.</w:t>
      </w:r>
      <w:r>
        <w:rPr xmlns:w="http://schemas.openxmlformats.org/wordprocessingml/2006/main">
          <w:rFonts w:ascii="Arial" w:cs="Arial" w:eastAsia="Arial" w:hAnsi="Arial"/>
          <w:sz w:val="16"/>
          <w:szCs w:val="16"/>
          <w:color w:val="auto"/>
        </w:rPr>
        <w:t xml:space="preserve"> Pozycja ta nie obejmuje ewentualnych kosztów transakcji portfelowych ani opłat za wyniki.</w:t>
      </w:r>
    </w:p>
    <w:p>
      <w:pPr>
        <w:spacing w:after="0" w:line="3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6"/>
          <w:szCs w:val="16"/>
          <w:color w:val="auto"/>
        </w:rPr>
        <w:t xml:space="preserve">Dodatkowe informacje na temat kosztów można znaleźć w kosztorysie</w:t>
      </w:r>
    </w:p>
    <w:p>
      <w:pPr>
        <w:sectPr>
          <w:pgSz w:w="11900" w:h="16838" w:orient="portrait"/>
          <w:cols w:equalWidth="0" w:num="2">
            <w:col w:w="5680" w:space="80"/>
            <w:col w:w="4260"/>
          </w:cols>
          <w:pgMar w:left="1020" w:top="626" w:right="866" w:bottom="195" w:gutter="0" w:footer="0" w:header="0"/>
          <w:type w:val="continuous"/>
        </w:sectPr>
      </w:pPr>
    </w:p>
    <w:bookmarkStart w:id="1" w:name="page2"/>
    <w:bookmarkEnd w:id="1"/>
    <w:p>
      <w:pPr>
        <w:spacing w:after="0" w:line="8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left="100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5"/>
          <w:szCs w:val="15"/>
          <w:b w:val="1"/>
          <w:bCs w:val="1"/>
          <w:color w:val="auto"/>
        </w:rPr>
        <w:t xml:space="preserve">Opłaty za udzielanie pożyczek papierów wartościowych</w:t>
      </w:r>
    </w:p>
    <w:p>
      <w:pPr xmlns:w="http://schemas.openxmlformats.org/wordprocessingml/2006/main">
        <w:spacing w:after="0" w:line="20" w:lineRule="exact"/>
        <w:rPr>
          <w:sz w:val="20"/>
          <w:szCs w:val="20"/>
          <w:color w:val="auto"/>
        </w:rPr>
      </w:pPr>
      <w:r>
        <w:rPr xmlns:w="http://schemas.openxmlformats.org/wordprocessingml/2006/main">
          <w:sz w:val="20"/>
          <w:szCs w:val="20"/>
          <w:color w:val="auto"/>
        </w:rPr>
        <w:br xmlns:w="http://schemas.openxmlformats.org/wordprocessingml/2006/main" w:type="column"/>
      </w:r>
    </w:p>
    <w:p>
      <w:pPr xmlns:w="http://schemas.openxmlformats.org/wordprocessingml/2006/main"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6"/>
          <w:szCs w:val="16"/>
          <w:color w:val="auto"/>
        </w:rPr>
        <w:t xml:space="preserve">0.00 %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-1991995</wp:posOffset>
            </wp:positionH>
            <wp:positionV relativeFrom="paragraph">
              <wp:posOffset>-115570</wp:posOffset>
            </wp:positionV>
            <wp:extent cx="3599815" cy="129540"/>
            <wp:wrapNone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99815" cy="1295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 xmlns:w="http://schemas.openxmlformats.org/wordprocessingml/2006/main">
        <w:spacing w:after="0" w:line="20" w:lineRule="exact"/>
        <w:rPr>
          <w:sz w:val="20"/>
          <w:szCs w:val="20"/>
          <w:color w:val="auto"/>
        </w:rPr>
      </w:pPr>
      <w:r>
        <w:rPr xmlns:w="http://schemas.openxmlformats.org/wordprocessingml/2006/main">
          <w:sz w:val="20"/>
          <w:szCs w:val="20"/>
          <w:color w:val="auto"/>
        </w:rPr>
        <w:br xmlns:w="http://schemas.openxmlformats.org/wordprocessingml/2006/main" w:type="column"/>
      </w:r>
    </w:p>
    <w:p>
      <w:pPr xmlns:w="http://schemas.openxmlformats.org/wordprocessingml/2006/main">
        <w:jc w:val="center"/>
        <w:ind w:right="2200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6"/>
          <w:szCs w:val="16"/>
          <w:color w:val="auto"/>
        </w:rPr>
        <w:t xml:space="preserve">sekcja(-y) prospektu emisyjnego.</w:t>
      </w:r>
    </w:p>
    <w:p>
      <w:pPr>
        <w:spacing w:after="0" w:line="210" w:lineRule="exact"/>
        <w:rPr>
          <w:sz w:val="20"/>
          <w:szCs w:val="20"/>
          <w:color w:val="auto"/>
        </w:rPr>
      </w:pPr>
    </w:p>
    <w:p>
      <w:pPr>
        <w:sectPr>
          <w:pgSz w:w="11900" w:h="16838" w:orient="portrait"/>
          <w:cols w:equalWidth="0" w:num="3">
            <w:col w:w="2360" w:space="720"/>
            <w:col w:w="1900" w:space="720"/>
            <w:col w:w="4220"/>
          </w:cols>
          <w:pgMar w:left="1080" w:top="598" w:right="906" w:bottom="1440" w:gutter="0" w:footer="0" w:header="0"/>
        </w:sectPr>
      </w:pPr>
    </w:p>
    <w:p>
      <w:pPr>
        <w:spacing w:after="0" w:line="50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jc w:val="both"/>
        <w:spacing w:after="0" w:line="252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6"/>
          <w:szCs w:val="16"/>
          <w:color w:val="auto"/>
        </w:rPr>
        <w:t xml:space="preserve">W zakresie, w jakim fundusz udziela pożyczek papierów wartościowych w celu generowania przychodów, fundusz docelowo otrzyma 70% związanych z tym przychodów, agent udzielający pożyczek papierów wartościowych, który będzie podmiotem DWS lub innym podmiotem Deutsche Banku, otrzyma 15%, a pozostałe 15% zostanie przydzielone podmiotowi DWS, który monitoruje takie działania, jak określono w prospekcie emisyjnym i suplemencie.</w:t>
      </w:r>
      <w:r>
        <w:rPr xmlns:w="http://schemas.openxmlformats.org/wordprocessingml/2006/main">
          <w:rFonts w:ascii="Arial" w:cs="Arial" w:eastAsia="Arial" w:hAnsi="Arial"/>
          <w:sz w:val="16"/>
          <w:szCs w:val="16"/>
          <w:color w:val="auto"/>
        </w:rPr>
        <w:t xml:space="preserve"> Ponieważ podział przychodów z pożyczek papierów wartościowych nie zwiększa kosztów prowadzenia funduszu, został on wyłączony ze struktury kosztów.</w:t>
      </w:r>
    </w:p>
    <w:p>
      <w:pPr>
        <w:spacing w:after="0" w:line="109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22"/>
          <w:szCs w:val="22"/>
          <w:b w:val="1"/>
          <w:bCs w:val="1"/>
          <w:color w:val="auto"/>
        </w:rPr>
        <w:t xml:space="preserve">Wyniki z przeszłości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-23495</wp:posOffset>
                </wp:positionH>
                <wp:positionV relativeFrom="paragraph">
                  <wp:posOffset>32385</wp:posOffset>
                </wp:positionV>
                <wp:extent cx="6395720" cy="0"/>
                <wp:wrapNone/>
                <wp:docPr id="16" name="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9572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EE7203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6" o:spid="_x0000_s1041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-1.8499pt,2.55pt" to="501.75pt,2.55pt" o:allowincell="f" strokecolor="#EE7203" strokeweight="1.5pt"/>
            </w:pict>
          </mc:Fallback>
        </mc:AlternateContent>
      </w:r>
    </w:p>
    <w:p>
      <w:pPr>
        <w:spacing w:after="0" w:line="130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jc w:val="both"/>
        <w:ind w:left="6900" w:right="60"/>
        <w:spacing w:after="0" w:line="244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6"/>
          <w:szCs w:val="16"/>
          <w:color w:val="auto"/>
        </w:rPr>
        <w:t xml:space="preserve">Dotychczasowe wyniki nie są wiarygodnym wskaźnikiem przyszłych wyników.</w:t>
      </w:r>
      <w:r>
        <w:rPr xmlns:w="http://schemas.openxmlformats.org/wordprocessingml/2006/main">
          <w:rFonts w:ascii="Arial" w:cs="Arial" w:eastAsia="Arial" w:hAnsi="Arial"/>
          <w:sz w:val="16"/>
          <w:szCs w:val="16"/>
          <w:color w:val="auto"/>
        </w:rPr>
        <w:t xml:space="preserve"> Wszystkie koszty i opłaty, które zostały wycofane z klasy akcji 1C Xtrackers Artificial Intelligence &amp; Big Data UCITS ETF, zostały odliczone podczas obliczeń.</w:t>
      </w:r>
      <w:r>
        <w:rPr xmlns:w="http://schemas.openxmlformats.org/wordprocessingml/2006/main">
          <w:rFonts w:ascii="Arial" w:cs="Arial" w:eastAsia="Arial" w:hAnsi="Arial"/>
          <w:sz w:val="16"/>
          <w:szCs w:val="16"/>
          <w:color w:val="auto"/>
        </w:rPr>
        <w:t xml:space="preserve"> W 2019 r. uruchomiono klasę 1C share - Xtrackers Artificial Intelligence &amp; Big Data UCITS ETF.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-40005</wp:posOffset>
            </wp:positionH>
            <wp:positionV relativeFrom="paragraph">
              <wp:posOffset>-1068070</wp:posOffset>
            </wp:positionV>
            <wp:extent cx="4321175" cy="2044700"/>
            <wp:wrapNone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1175" cy="2044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51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22"/>
          <w:szCs w:val="22"/>
          <w:b w:val="1"/>
          <w:bCs w:val="1"/>
          <w:color w:val="auto"/>
        </w:rPr>
        <w:t xml:space="preserve">Informacje praktyczne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-23495</wp:posOffset>
                </wp:positionH>
                <wp:positionV relativeFrom="paragraph">
                  <wp:posOffset>32385</wp:posOffset>
                </wp:positionV>
                <wp:extent cx="6395720" cy="0"/>
                <wp:wrapNone/>
                <wp:docPr id="18" name="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9572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EE7203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8" o:spid="_x0000_s1043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-1.8499pt,2.55pt" to="501.75pt,2.55pt" o:allowincell="f" strokecolor="#EE7203" strokeweight="1.5pt"/>
            </w:pict>
          </mc:Fallback>
        </mc:AlternateContent>
      </w:r>
    </w:p>
    <w:p>
      <w:pPr>
        <w:sectPr>
          <w:pgSz w:w="11900" w:h="16838" w:orient="portrait"/>
          <w:cols w:equalWidth="0" w:num="1">
            <w:col w:w="9920"/>
          </w:cols>
          <w:pgMar w:left="1080" w:top="598" w:right="906" w:bottom="1440" w:gutter="0" w:footer="0" w:header="0"/>
          <w:type w:val="continuous"/>
        </w:sectPr>
      </w:pPr>
    </w:p>
    <w:p>
      <w:pPr>
        <w:spacing w:after="0" w:line="116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jc w:val="both"/>
        <w:spacing w:after="0" w:line="257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5"/>
          <w:szCs w:val="15"/>
          <w:color w:val="auto"/>
        </w:rPr>
        <w:t xml:space="preserve">Depozytariuszem jest State Street Custodial Services (Ireland) Limited, Irlandia.</w:t>
      </w:r>
      <w:r>
        <w:rPr xmlns:w="http://schemas.openxmlformats.org/wordprocessingml/2006/main">
          <w:rFonts w:ascii="Arial" w:cs="Arial" w:eastAsia="Arial" w:hAnsi="Arial"/>
          <w:sz w:val="15"/>
          <w:szCs w:val="15"/>
          <w:color w:val="auto"/>
        </w:rPr>
        <w:t xml:space="preserve"> Kopie prospektu emisyjnego i raportów okresowych są dostępne bezpłatnie w języku niniejszego dokumentu.</w:t>
      </w:r>
      <w:r>
        <w:rPr xmlns:w="http://schemas.openxmlformats.org/wordprocessingml/2006/main">
          <w:rFonts w:ascii="Arial" w:cs="Arial" w:eastAsia="Arial" w:hAnsi="Arial"/>
          <w:sz w:val="15"/>
          <w:szCs w:val="15"/>
          <w:color w:val="auto"/>
        </w:rPr>
        <w:t xml:space="preserve"> Dokumenty oraz inne informacje (w tym najnowsze kursy akcji oraz orientacyjne wartości aktywów netto) są dostępne bezpłatnie.</w:t>
      </w:r>
      <w:r>
        <w:rPr xmlns:w="http://schemas.openxmlformats.org/wordprocessingml/2006/main">
          <w:rFonts w:ascii="Arial" w:cs="Arial" w:eastAsia="Arial" w:hAnsi="Arial"/>
          <w:sz w:val="15"/>
          <w:szCs w:val="15"/>
          <w:color w:val="auto"/>
        </w:rPr>
        <w:t xml:space="preserve"> Dokumenty są dostępne na lokalnej stronie DWS lub na stronie www.Xtrackers.com, aby uzyskać pełne informacje na temat składu portfela funduszu i informacji o składnikach indeksu, należy zapoznać się również z tą stroną internetową.</w:t>
      </w:r>
      <w:r>
        <w:rPr xmlns:w="http://schemas.openxmlformats.org/wordprocessingml/2006/main">
          <w:rFonts w:ascii="Arial" w:cs="Arial" w:eastAsia="Arial" w:hAnsi="Arial"/>
          <w:sz w:val="15"/>
          <w:szCs w:val="15"/>
          <w:color w:val="auto"/>
        </w:rPr>
        <w:t xml:space="preserve"> Informacje na temat aktualnej polityki wynagrodzeń spółki zarządzającej, w tym opis sposobu wyliczania wynagrodzeń i świadczeń, publikowane są na stronie internetowej https://www.dws.com/footer/Legal-</w:t>
      </w:r>
    </w:p>
    <w:p>
      <w:pPr>
        <w:spacing w:after="0" w:line="7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jc w:val="both"/>
        <w:spacing w:after="0" w:line="243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6"/>
          <w:szCs w:val="16"/>
          <w:color w:val="auto"/>
        </w:rPr>
        <w:t xml:space="preserve">Resources/dws-remuneration-policy?setLanguage=pl.</w:t>
      </w:r>
      <w:r>
        <w:rPr xmlns:w="http://schemas.openxmlformats.org/wordprocessingml/2006/main">
          <w:rFonts w:ascii="Arial" w:cs="Arial" w:eastAsia="Arial" w:hAnsi="Arial"/>
          <w:sz w:val="16"/>
          <w:szCs w:val="16"/>
          <w:color w:val="auto"/>
        </w:rPr>
        <w:t xml:space="preserve"> Informacja zostanie przesłana Państwu bezpłatnie w formie papierowej na życzenie.</w:t>
      </w:r>
      <w:r>
        <w:rPr xmlns:w="http://schemas.openxmlformats.org/wordprocessingml/2006/main">
          <w:rFonts w:ascii="Arial" w:cs="Arial" w:eastAsia="Arial" w:hAnsi="Arial"/>
          <w:sz w:val="16"/>
          <w:szCs w:val="16"/>
          <w:color w:val="auto"/>
        </w:rPr>
        <w:t xml:space="preserve"> Systemy podatkowe mające zastosowanie do funduszu w Twojej jurysdykcji mogą mieć wpływ na Twoją osobistą sytuację podatkową.</w:t>
      </w:r>
      <w:r>
        <w:rPr xmlns:w="http://schemas.openxmlformats.org/wordprocessingml/2006/main">
          <w:rFonts w:ascii="Arial" w:cs="Arial" w:eastAsia="Arial" w:hAnsi="Arial"/>
          <w:sz w:val="16"/>
          <w:szCs w:val="16"/>
          <w:color w:val="auto"/>
        </w:rPr>
        <w:t xml:space="preserve"> Potencjalni inwestorzy powinni informować się o tym fakcie i w stosownych przypadkach zasięgać porady w tym zakresie</w:t>
      </w:r>
    </w:p>
    <w:p>
      <w:pPr>
        <w:spacing w:after="0" w:line="156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6"/>
          <w:szCs w:val="16"/>
          <w:color w:val="auto"/>
        </w:rPr>
        <w:t xml:space="preserve">Kluczowe informacje dla inwestorów są aktualne na 24.07.2023 r.</w:t>
      </w:r>
    </w:p>
    <w:p>
      <w:pPr xmlns:w="http://schemas.openxmlformats.org/wordprocessingml/2006/main">
        <w:spacing w:after="0" w:line="20" w:lineRule="exact"/>
        <w:rPr>
          <w:sz w:val="20"/>
          <w:szCs w:val="20"/>
          <w:color w:val="auto"/>
        </w:rPr>
      </w:pPr>
      <w:r>
        <w:rPr xmlns:w="http://schemas.openxmlformats.org/wordprocessingml/2006/main">
          <w:sz w:val="20"/>
          <w:szCs w:val="20"/>
          <w:color w:val="auto"/>
        </w:rPr>
        <w:br xmlns:w="http://schemas.openxmlformats.org/wordprocessingml/2006/main" w:type="column"/>
      </w:r>
    </w:p>
    <w:p>
      <w:pPr>
        <w:spacing w:after="0" w:line="96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jc w:val="both"/>
        <w:spacing w:after="0" w:line="242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6"/>
          <w:szCs w:val="16"/>
          <w:color w:val="auto"/>
        </w:rPr>
        <w:t xml:space="preserve">takich systemów podatkowych.</w:t>
      </w:r>
      <w:r>
        <w:rPr xmlns:w="http://schemas.openxmlformats.org/wordprocessingml/2006/main">
          <w:rFonts w:ascii="Arial" w:cs="Arial" w:eastAsia="Arial" w:hAnsi="Arial"/>
          <w:sz w:val="16"/>
          <w:szCs w:val="16"/>
          <w:color w:val="auto"/>
        </w:rPr>
        <w:t xml:space="preserve"> Xtrackers (IE) plc może zostać pociągnięta do odpowiedzialności wyłącznie na podstawie jakiegokolwiek oświadczenia zawartego w niniejszym dokumencie, które wprowadza w błąd, jest niedokładne lub niezgodne z odpowiednimi częściami prospektu emisyjnego sprzedaży.</w:t>
      </w:r>
      <w:r>
        <w:rPr xmlns:w="http://schemas.openxmlformats.org/wordprocessingml/2006/main">
          <w:rFonts w:ascii="Arial" w:cs="Arial" w:eastAsia="Arial" w:hAnsi="Arial"/>
          <w:sz w:val="16"/>
          <w:szCs w:val="16"/>
          <w:color w:val="auto"/>
        </w:rPr>
        <w:t xml:space="preserve"> Fundusz ten jest subfunduszem Xtrackers (IE) plc, dla którego prospekt emisyjny i raporty okresowe są przygotowywane jako całość, oprócz suplementów indywidualnych dla każdego subfunduszu.</w:t>
      </w:r>
      <w:r>
        <w:rPr xmlns:w="http://schemas.openxmlformats.org/wordprocessingml/2006/main">
          <w:rFonts w:ascii="Arial" w:cs="Arial" w:eastAsia="Arial" w:hAnsi="Arial"/>
          <w:sz w:val="16"/>
          <w:szCs w:val="16"/>
          <w:color w:val="auto"/>
        </w:rPr>
        <w:t xml:space="preserve"> Aktywa i pasywa każdego z subfunduszy są oddzielone przepisami prawa.</w:t>
      </w:r>
      <w:r>
        <w:rPr xmlns:w="http://schemas.openxmlformats.org/wordprocessingml/2006/main">
          <w:rFonts w:ascii="Arial" w:cs="Arial" w:eastAsia="Arial" w:hAnsi="Arial"/>
          <w:sz w:val="16"/>
          <w:szCs w:val="16"/>
          <w:color w:val="auto"/>
        </w:rPr>
        <w:t xml:space="preserve"> W związku z tym aktywa jednego subfunduszu nie są dostępne w przypadku roszczeń wobec innego subfunduszu lub jego niewypłacalności.</w:t>
      </w:r>
      <w:r>
        <w:rPr xmlns:w="http://schemas.openxmlformats.org/wordprocessingml/2006/main">
          <w:rFonts w:ascii="Arial" w:cs="Arial" w:eastAsia="Arial" w:hAnsi="Arial"/>
          <w:sz w:val="16"/>
          <w:szCs w:val="16"/>
          <w:color w:val="auto"/>
        </w:rPr>
        <w:t xml:space="preserve"> Dla tego funduszu mogą być dostępne więcej klas akcji - więcej szczegółów w odpowiedniej sekcji suplementu.</w:t>
      </w:r>
      <w:r>
        <w:rPr xmlns:w="http://schemas.openxmlformats.org/wordprocessingml/2006/main">
          <w:rFonts w:ascii="Arial" w:cs="Arial" w:eastAsia="Arial" w:hAnsi="Arial"/>
          <w:sz w:val="16"/>
          <w:szCs w:val="16"/>
          <w:color w:val="auto"/>
        </w:rPr>
        <w:t xml:space="preserve"> Nie możesz wymieniać swoich udziałów w tym funduszu na inne fundusze Xtrackers (IE) plc.</w:t>
      </w:r>
      <w:r>
        <w:rPr xmlns:w="http://schemas.openxmlformats.org/wordprocessingml/2006/main">
          <w:rFonts w:ascii="Arial" w:cs="Arial" w:eastAsia="Arial" w:hAnsi="Arial"/>
          <w:sz w:val="16"/>
          <w:szCs w:val="16"/>
          <w:color w:val="auto"/>
        </w:rPr>
        <w:t xml:space="preserve"> Fundusz ten jest zatwierdzony w Irlandii i jest regulowany przez Central Bank of Ireland.</w:t>
      </w:r>
      <w:r>
        <w:rPr xmlns:w="http://schemas.openxmlformats.org/wordprocessingml/2006/main">
          <w:rFonts w:ascii="Arial" w:cs="Arial" w:eastAsia="Arial" w:hAnsi="Arial"/>
          <w:sz w:val="16"/>
          <w:szCs w:val="16"/>
          <w:color w:val="auto"/>
        </w:rPr>
        <w:t xml:space="preserve"> Spółka DWS Investment S.A. posiada zezwolenie na prowadzenie działalności w Luksemburgu i jest regulowana przez Commission de Surveillance du Secteur Financier.</w:t>
      </w:r>
    </w:p>
    <w:p>
      <w:pPr>
        <w:spacing w:after="0" w:line="712" w:lineRule="exact"/>
        <w:rPr>
          <w:sz w:val="20"/>
          <w:szCs w:val="20"/>
          <w:color w:val="auto"/>
        </w:rPr>
      </w:pPr>
    </w:p>
    <w:p>
      <w:pPr>
        <w:sectPr>
          <w:pgSz w:w="11900" w:h="16838" w:orient="portrait"/>
          <w:cols w:equalWidth="0" w:num="2">
            <w:col w:w="4760" w:space="400"/>
            <w:col w:w="4760"/>
          </w:cols>
          <w:pgMar w:left="1080" w:top="598" w:right="906" w:bottom="1440" w:gutter="0" w:footer="0" w:header="0"/>
          <w:type w:val="continuous"/>
        </w:sectPr>
      </w:pPr>
    </w:p>
    <w:p>
      <w:pPr xmlns:w="http://schemas.openxmlformats.org/wordprocessingml/2006/main">
        <w:jc w:val="both"/>
        <w:ind w:right="140"/>
        <w:spacing w:after="0" w:line="257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4"/>
          <w:szCs w:val="14"/>
          <w:color w:val="auto"/>
        </w:rPr>
        <w:t xml:space="preserve">Nasdaq®, jest zastrzeżonym znakiem towarowym NASDAQ, Inc. (który wraz z podmiotami powiązanymi jest określany jako "Corporation") i jest licencjonowany do użytku przez Xtrackers (IE) plc.</w:t>
      </w:r>
      <w:r>
        <w:rPr xmlns:w="http://schemas.openxmlformats.org/wordprocessingml/2006/main">
          <w:rFonts w:ascii="Arial" w:cs="Arial" w:eastAsia="Arial" w:hAnsi="Arial"/>
          <w:sz w:val="14"/>
          <w:szCs w:val="14"/>
          <w:color w:val="auto"/>
        </w:rPr>
        <w:t xml:space="preserve"> Produkt(-y) nie zostały przekazane przez Korporację pod względem ich legalności lub przydatności.</w:t>
      </w:r>
      <w:r>
        <w:rPr xmlns:w="http://schemas.openxmlformats.org/wordprocessingml/2006/main">
          <w:rFonts w:ascii="Arial" w:cs="Arial" w:eastAsia="Arial" w:hAnsi="Arial"/>
          <w:sz w:val="14"/>
          <w:szCs w:val="14"/>
          <w:color w:val="auto"/>
        </w:rPr>
        <w:t xml:space="preserve"> Produkt(-y) nie są wydawane, zatwierdzane, sprzedawane ani promowane przez Korporację.</w:t>
      </w:r>
      <w:r>
        <w:rPr xmlns:w="http://schemas.openxmlformats.org/wordprocessingml/2006/main">
          <w:rFonts w:ascii="Arial" w:cs="Arial" w:eastAsia="Arial" w:hAnsi="Arial"/>
          <w:sz w:val="14"/>
          <w:szCs w:val="14"/>
          <w:color w:val="auto"/>
        </w:rPr>
        <w:t xml:space="preserve"> KORPORACJA NIE UDZIELA ŻADNYCH GWARANCJI I NIE PONOSI ŻADNEJ ODPOWIEDZIALNOŚCI W ODNIESIENIU DO PRODUKTU (PRODUKTÓW).</w:t>
      </w:r>
    </w:p>
    <w:sectPr>
      <w:pgSz w:w="11900" w:h="16838" w:orient="portrait"/>
      <w:cols w:equalWidth="0" w:num="1">
        <w:col w:w="9920"/>
      </w:cols>
      <w:pgMar w:left="1080" w:top="598" w:right="906" w:bottom="1440" w:gutter="0" w:footer="0" w:header="0"/>
      <w:type w:val="continuous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styles" Target="styles.xml"/><Relationship Id="rId3" Type="http://schemas.openxmlformats.org/officeDocument/2006/relationships/fontTable" Target="fontTable.xml"/><Relationship Id="rId4" Type="http://schemas.openxmlformats.org/officeDocument/2006/relationships/webSettings" Target="webSettings.xml"/><Relationship Id="rId12" Type="http://schemas.openxmlformats.org/officeDocument/2006/relationships/image" Target="media/image1.png"/><Relationship Id="rId13" Type="http://schemas.openxmlformats.org/officeDocument/2006/relationships/image" Target="media/image2.png"/><Relationship Id="rId14" Type="http://schemas.openxmlformats.org/officeDocument/2006/relationships/image" Target="media/image3.png"/><Relationship Id="rId15" Type="http://schemas.openxmlformats.org/officeDocument/2006/relationships/image" Target="media/image4.png"/><Relationship Id="rId16" Type="http://schemas.openxmlformats.org/officeDocument/2006/relationships/image" Target="media/image5.png"/><Relationship Id="rId17" Type="http://schemas.openxmlformats.org/officeDocument/2006/relationships/image" Target="media/image6.png"/><Relationship Id="rId18" Type="http://schemas.openxmlformats.org/officeDocument/2006/relationships/image" Target="media/image7.png"/><Relationship Id="rId19" Type="http://schemas.openxmlformats.org/officeDocument/2006/relationships/image" Target="media/image8.png"/><Relationship Id="rId20" Type="http://schemas.openxmlformats.org/officeDocument/2006/relationships/image" Target="media/image9.png"/><Relationship Id="rId21" Type="http://schemas.openxmlformats.org/officeDocument/2006/relationships/image" Target="media/image10.png"/><Relationship Id="rId22" Type="http://schemas.openxmlformats.org/officeDocument/2006/relationships/image" Target="media/image11.png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2024-05-21T08:36:30Z</dcterms:created>
  <dcterms:modified xsi:type="dcterms:W3CDTF">2024-05-21T08:36:30Z</dcterms:modified>
</cp:coreProperties>
</file>