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Opcje Na Indeks Standaryzowany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rPr>
        <w:t xml:space="preserve"> Nie jest to materiał marketingowy.</w:t>
      </w:r>
      <w:r>
        <w:rPr xmlns:w="http://schemas.openxmlformats.org/wordprocessingml/2006/main">
          <w:rFonts w:ascii="Calibri" w:cs="Calibri" w:eastAsia="Calibri" w:hAnsi="Calibri"/>
          <w:sz w:val="22"/>
          <w:szCs w:val="22"/>
          <w:color w:val="auto"/>
        </w:rPr>
        <w:t xml:space="preserve"> Informacje 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Opcje na amerykański indeks standardowy</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Options Clearing Corporation ("OCC") dostarcza niniejszy dokument na podstawie Rozporządzenia UE nr 1286/2014 dla standardowych opcji indeksowych (a/k/a "notowane opcje").</w:t>
      </w:r>
      <w:r>
        <w:rPr xmlns:w="http://schemas.openxmlformats.org/wordprocessingml/2006/main">
          <w:rFonts w:ascii="Calibri" w:cs="Calibri" w:eastAsia="Calibri" w:hAnsi="Calibri"/>
          <w:sz w:val="22"/>
          <w:szCs w:val="22"/>
          <w:color w:val="auto"/>
        </w:rPr>
        <w:t xml:space="preserve"> Standardowe opcje indeksowe są notowane i znajdują się w obrocie na amerykańskich giełdach opcji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lub skontaktować się z OCC pod numerem 1-312-322-6200.</w:t>
      </w:r>
      <w:r>
        <w:rPr xmlns:w="http://schemas.openxmlformats.org/wordprocessingml/2006/main">
          <w:rFonts w:ascii="Calibri" w:cs="Calibri" w:eastAsia="Calibri" w:hAnsi="Calibri"/>
          <w:sz w:val="22"/>
          <w:szCs w:val="22"/>
          <w:color w:val="auto"/>
        </w:rPr>
        <w:t xml:space="preserve"> Zaktualizowany 28 grudnia 2022 i 20 kwietnia 2023.</w:t>
      </w:r>
    </w:p>
    <w:p>
      <w:pPr>
        <w:spacing w:after="0" w:line="83" w:lineRule="exact"/>
        <w:rPr>
          <w:sz w:val="24"/>
          <w:szCs w:val="24"/>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dokonywać obrotu opcjami na indeks standaryzowany, dopóki nie przeczytają i nie zrozumieją tego dokumentu i związanego z nim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standaryzowanych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64"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Opcja na indeks wystandaryzowany to prawo do nabycia lub zbycia określonej wartości danego indeksu bazowego po ustalonej cenie ("cena realizacji") poprzez skorzystanie z opcji przed upływem terminu jej ważności.</w:t>
      </w:r>
      <w:r>
        <w:rPr xmlns:w="http://schemas.openxmlformats.org/wordprocessingml/2006/main">
          <w:rFonts w:ascii="Calibri" w:cs="Calibri" w:eastAsia="Calibri" w:hAnsi="Calibri"/>
          <w:sz w:val="22"/>
          <w:szCs w:val="22"/>
          <w:color w:val="auto"/>
        </w:rPr>
        <w:t xml:space="preserve"> Indeks jest miarą cen lub innych atrybutów grupy papierów wartościowych lub innych podstawowych udziałów.</w:t>
      </w:r>
      <w:r>
        <w:rPr xmlns:w="http://schemas.openxmlformats.org/wordprocessingml/2006/main">
          <w:rFonts w:ascii="Calibri" w:cs="Calibri" w:eastAsia="Calibri" w:hAnsi="Calibri"/>
          <w:sz w:val="22"/>
          <w:szCs w:val="22"/>
          <w:color w:val="auto"/>
        </w:rPr>
        <w:t xml:space="preserve"> Na przykład indeks może być zaprojektowany tak, aby był reprezentatywny dla cen grupy kapitałowych papierów wartościowych lub aby mierzył przewidywaną zmienność indeksu.</w:t>
      </w:r>
      <w:r>
        <w:rPr xmlns:w="http://schemas.openxmlformats.org/wordprocessingml/2006/main">
          <w:rFonts w:ascii="Calibri" w:cs="Calibri" w:eastAsia="Calibri" w:hAnsi="Calibri"/>
          <w:sz w:val="22"/>
          <w:szCs w:val="22"/>
          <w:color w:val="auto"/>
        </w:rPr>
        <w:t xml:space="preserve"> Indeksy różnią się w sposobie ich obliczania.</w:t>
      </w:r>
      <w:r>
        <w:rPr xmlns:w="http://schemas.openxmlformats.org/wordprocessingml/2006/main">
          <w:rFonts w:ascii="Calibri" w:cs="Calibri" w:eastAsia="Calibri" w:hAnsi="Calibri"/>
          <w:sz w:val="22"/>
          <w:szCs w:val="22"/>
          <w:color w:val="auto"/>
        </w:rPr>
        <w:t xml:space="preserve"> Ponieważ indeks jest reprezentacją wartości lub innych atrybutów grupy papierów wartościowych lub innych udziałów, zakup (lub sprzedaż) standardowej opcji na indeks można rozumieć jako prawo do kupna (lub sprzedaży) wartości, która zmienia się wraz ze zmianą wartości indeksu bazowego.</w:t>
      </w:r>
      <w:r>
        <w:rPr xmlns:w="http://schemas.openxmlformats.org/wordprocessingml/2006/main">
          <w:rFonts w:ascii="Calibri" w:cs="Calibri" w:eastAsia="Calibri" w:hAnsi="Calibri"/>
          <w:sz w:val="22"/>
          <w:szCs w:val="22"/>
          <w:color w:val="auto"/>
        </w:rPr>
        <w:t xml:space="preserve"> Ekspozycja na indeks bazowy ma charakter pośredni, ponieważ wartość opcji pochodzi z wartości indeksu bazowego.</w:t>
      </w:r>
      <w:r>
        <w:rPr xmlns:w="http://schemas.openxmlformats.org/wordprocessingml/2006/main">
          <w:rFonts w:ascii="Calibri" w:cs="Calibri" w:eastAsia="Calibri" w:hAnsi="Calibri"/>
          <w:sz w:val="22"/>
          <w:szCs w:val="22"/>
          <w:color w:val="auto"/>
        </w:rPr>
        <w:t xml:space="preserve"> Daty wygaśnięcia opcji indeksu są różne.</w:t>
      </w:r>
      <w:r>
        <w:rPr xmlns:w="http://schemas.openxmlformats.org/wordprocessingml/2006/main">
          <w:rFonts w:ascii="Calibri" w:cs="Calibri" w:eastAsia="Calibri" w:hAnsi="Calibri"/>
          <w:sz w:val="22"/>
          <w:szCs w:val="22"/>
          <w:color w:val="auto"/>
        </w:rPr>
        <w:t xml:space="preserve"> OCC nie może jednostronnie zakończyć opcji.</w:t>
      </w:r>
      <w:r>
        <w:rPr xmlns:w="http://schemas.openxmlformats.org/wordprocessingml/2006/main">
          <w:rFonts w:ascii="Calibri" w:cs="Calibri" w:eastAsia="Calibri" w:hAnsi="Calibri"/>
          <w:sz w:val="22"/>
          <w:szCs w:val="22"/>
          <w:color w:val="auto"/>
        </w:rPr>
        <w:t xml:space="preserve"> W pewnych nadzwyczajnych okolicznościach, w których warunki opcji zostaną jednoznacznie uznane za błędne, giełda, na której wykonywana jest transakcja, może jednostronnie wypowiedzieć opcję w określonym terminie po jej wykonaniu.</w:t>
      </w:r>
      <w:r>
        <w:rPr xmlns:w="http://schemas.openxmlformats.org/wordprocessingml/2006/main">
          <w:rFonts w:ascii="Calibri" w:cs="Calibri" w:eastAsia="Calibri" w:hAnsi="Calibri"/>
          <w:sz w:val="22"/>
          <w:szCs w:val="22"/>
          <w:color w:val="auto"/>
        </w:rPr>
        <w:t xml:space="preserve"> Niektóre przypadki, takie jak zmiana składu lub wyliczenie indeksu, mogą skutkować zmianą warunków opcji zgodnie z zasadami OCC, które mogą różnić się od metodologii stosowanej na europejskich rynkach opcji.</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Opcje na indeks standaryzowany rozliczane są w środkach pieniężnych.</w:t>
      </w:r>
      <w:r>
        <w:rPr xmlns:w="http://schemas.openxmlformats.org/wordprocessingml/2006/main">
          <w:rFonts w:ascii="Calibri" w:cs="Calibri" w:eastAsia="Calibri" w:hAnsi="Calibri"/>
          <w:sz w:val="22"/>
          <w:szCs w:val="22"/>
          <w:color w:val="auto"/>
        </w:rPr>
        <w:t xml:space="preserve"> Posiadacz (kupujący) ma prawo do otrzymania płatności gotówkowej od wystawcy (sprzedającego) opcji, jeżeli ustalona wartość indeksu bazowego w momencie realizacji ("wartość rozliczenia realizacji") przekracza (wezwanie) lub jest niższa niż (sprzedaż) cena wykonania opcji.</w:t>
      </w:r>
      <w:r>
        <w:rPr xmlns:w="http://schemas.openxmlformats.org/wordprocessingml/2006/main">
          <w:rFonts w:ascii="Calibri" w:cs="Calibri" w:eastAsia="Calibri" w:hAnsi="Calibri"/>
          <w:sz w:val="22"/>
          <w:szCs w:val="22"/>
          <w:color w:val="auto"/>
        </w:rPr>
        <w:t xml:space="preserve"> Nabycie opcji nie daje jej posiadaczowi prawa do nabycia papierów wartościowych lub innych wartości indeksu i nie zobowiązuje emitenta do ich sprzedaży.</w:t>
      </w:r>
      <w:r>
        <w:rPr xmlns:w="http://schemas.openxmlformats.org/wordprocessingml/2006/main">
          <w:rFonts w:ascii="Calibri" w:cs="Calibri" w:eastAsia="Calibri" w:hAnsi="Calibri"/>
          <w:sz w:val="22"/>
          <w:szCs w:val="22"/>
          <w:color w:val="auto"/>
        </w:rPr>
        <w:t xml:space="preserve"> Posiadaczem opcji jest osoba, która kupuje prawo wynikające z opcji i płaci wystawiającemu bezzwrotną płatność zwaną "premią".</w:t>
      </w:r>
      <w:r>
        <w:rPr xmlns:w="http://schemas.openxmlformats.org/wordprocessingml/2006/main">
          <w:rFonts w:ascii="Calibri" w:cs="Calibri" w:eastAsia="Calibri" w:hAnsi="Calibri"/>
          <w:sz w:val="22"/>
          <w:szCs w:val="22"/>
          <w:color w:val="auto"/>
        </w:rPr>
        <w:t xml:space="preserve"> Scenariusz opcji jest zobowiązany - w przypadku przypisania wykonania opcji - do wykonania zgodnie z warunkami płatności "kwoty rozliczenia realizacji" na rzecz posiadacza opcji, która jest obliczana jako różnica między ceną wykonania opcji a wartością rozliczenia realizacji opcji.</w:t>
      </w:r>
      <w:r>
        <w:rPr xmlns:w="http://schemas.openxmlformats.org/wordprocessingml/2006/main">
          <w:rFonts w:ascii="Calibri" w:cs="Calibri" w:eastAsia="Calibri" w:hAnsi="Calibri"/>
          <w:sz w:val="22"/>
          <w:szCs w:val="22"/>
          <w:color w:val="auto"/>
        </w:rPr>
        <w:t xml:space="preserve"> Posiadacz może skorzystać z opcji typu amerykańskiego w dowolnym momencie przed wygaśnięciem, natomiast opcja typu europejskiego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Opcja kupna daje posiadaczowi prawo do uczestniczenia w zyskach na wartości indeksu powyżej ceny wykonania, a opcja sprzedaży daje posiadaczowi prawo do uczestniczenia w spadkach wartości indeksu poniżej ceny wykonania.</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indeksu bazowego i jego podatność na wahania cen (zmienność).</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rPr>
        <w:t xml:space="preserve"> Nie jest on odpowiedni dla wszystkich inwestorów i jest przeznaczony tylko dla inwestorów, którzy posiadają gruntowną wiedzę na temat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855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08558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produktu i może ponieść potencjalne straty z nim związane oraz związaną z nim strategię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Profil ryzyka i zysku dla posiadaczy i emitentów zależy od warunków opcji, ale może obejmować:</w:t>
      </w:r>
    </w:p>
    <w:p>
      <w:pPr>
        <w:spacing w:after="0" w:line="79" w:lineRule="exact"/>
        <w:rPr>
          <w:sz w:val="20"/>
          <w:szCs w:val="20"/>
          <w:color w:val="auto"/>
        </w:rPr>
      </w:pPr>
    </w:p>
    <w:p>
      <w:pPr xmlns:w="http://schemas.openxmlformats.org/wordprocessingml/2006/main">
        <w:ind w:left="220" w:right="4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Posiadacz opcji ryzykuje utratę całej premii, jeżeli cena wykonania opcji jest wyższa od bieżącej wartości rynkowej indeksu bazowego lub jeżeli cena wykonania opcji jest niższa od wartości rynkowej.</w:t>
      </w:r>
      <w:r>
        <w:rPr xmlns:w="http://schemas.openxmlformats.org/wordprocessingml/2006/main">
          <w:rFonts w:ascii="Calibri" w:cs="Calibri" w:eastAsia="Calibri" w:hAnsi="Calibri"/>
          <w:sz w:val="22"/>
          <w:szCs w:val="22"/>
          <w:color w:val="auto"/>
        </w:rPr>
        <w:t xml:space="preserve"> W obu przypadkach mówi się, że opcja wygasa "z pieniędzy".</w:t>
      </w:r>
      <w:r>
        <w:rPr xmlns:w="http://schemas.openxmlformats.org/wordprocessingml/2006/main">
          <w:rFonts w:ascii="Calibri" w:cs="Calibri" w:eastAsia="Calibri" w:hAnsi="Calibri"/>
          <w:sz w:val="22"/>
          <w:szCs w:val="22"/>
          <w:color w:val="auto"/>
        </w:rPr>
        <w:t xml:space="preserve"> Posiadacz opcji, który nie sprzeda opcji ani nie skorzysta z niej przed jej wygaśnięciem, może stracić całą swoją inwestycję w tę opcję.</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wartością indeksu bazowego.</w:t>
      </w:r>
    </w:p>
    <w:p>
      <w:pPr>
        <w:spacing w:after="0" w:line="79" w:lineRule="exact"/>
        <w:rPr>
          <w:rFonts w:ascii="Symbol" w:cs="Symbol" w:eastAsia="Symbol" w:hAnsi="Symbol"/>
          <w:sz w:val="22"/>
          <w:szCs w:val="22"/>
          <w:color w:val="auto"/>
        </w:rPr>
      </w:pPr>
    </w:p>
    <w:p>
      <w:pPr xmlns:w="http://schemas.openxmlformats.org/wordprocessingml/2006/main">
        <w:ind w:left="220" w:right="14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bazowy papier wartościowy wykonanej opcji, który jest fizycznie rozliczany, jest niedostępny, zasady UOKiK mogą wymagać alternatywnej formy rozliczenia, takiej jak rozliczenie gotówkowe.</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89" w:lineRule="exact"/>
        <w:rPr>
          <w:rFonts w:ascii="Symbol" w:cs="Symbol" w:eastAsia="Symbol" w:hAnsi="Symbol"/>
          <w:sz w:val="22"/>
          <w:szCs w:val="22"/>
          <w:color w:val="auto"/>
        </w:rPr>
      </w:pPr>
    </w:p>
    <w:p>
      <w:pPr xmlns:w="http://schemas.openxmlformats.org/wordprocessingml/2006/main">
        <w:ind w:left="220" w:right="60" w:hanging="214"/>
        <w:spacing w:after="0" w:line="213"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Bądź świadomy ryzyka walutowego.</w:t>
      </w:r>
      <w:r>
        <w:rPr xmlns:w="http://schemas.openxmlformats.org/wordprocessingml/2006/main">
          <w:rFonts w:ascii="Calibri" w:cs="Calibri" w:eastAsia="Calibri" w:hAnsi="Calibri"/>
          <w:sz w:val="22"/>
          <w:szCs w:val="22"/>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2"/>
          <w:szCs w:val="22"/>
          <w:b w:val="1"/>
          <w:bCs w:val="1"/>
          <w:color w:val="auto"/>
        </w:rPr>
        <w:t xml:space="preserve"> Ryzyko to nie jest uwzględniane we wskaźniku powyżej.</w:t>
      </w:r>
    </w:p>
    <w:p>
      <w:pPr>
        <w:spacing w:after="0" w:line="68" w:lineRule="exact"/>
        <w:rPr>
          <w:sz w:val="20"/>
          <w:szCs w:val="20"/>
          <w:color w:val="auto"/>
        </w:rPr>
      </w:pPr>
    </w:p>
    <w:p>
      <w:pPr xmlns:w="http://schemas.openxmlformats.org/wordprocessingml/2006/main">
        <w:ind w:right="16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Scenariusze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r>
    </w:p>
    <w:p>
      <w:pPr>
        <w:sectPr>
          <w:pgSz w:w="12240" w:h="15840" w:orient="portrait"/>
          <w:cols w:equalWidth="0" w:num="1">
            <w:col w:w="10340"/>
          </w:cols>
          <w:pgMar w:left="940" w:top="774" w:right="960" w:bottom="281" w:gutter="0" w:footer="0" w:header="0"/>
        </w:sectPr>
      </w:pPr>
    </w:p>
    <w:p>
      <w:pPr>
        <w:spacing w:after="0" w:line="134" w:lineRule="exact"/>
        <w:rPr>
          <w:sz w:val="20"/>
          <w:szCs w:val="20"/>
          <w:color w:val="auto"/>
        </w:rPr>
      </w:pPr>
    </w:p>
    <w:p>
      <w:pPr xmlns:w="http://schemas.openxmlformats.org/wordprocessingml/2006/main">
        <w:jc w:val="center"/>
        <w:ind w:left="480"/>
        <w:spacing w:after="0"/>
        <w:rPr>
          <w:sz w:val="20"/>
          <w:szCs w:val="20"/>
          <w:color w:val="auto"/>
        </w:rPr>
      </w:pPr>
      <w:r>
        <w:rPr xmlns:w="http://schemas.openxmlformats.org/wordprocessingml/2006/main">
          <w:rFonts w:ascii="Calibri" w:cs="Calibri" w:eastAsia="Calibri" w:hAnsi="Calibri"/>
          <w:sz w:val="16"/>
          <w:szCs w:val="16"/>
          <w:color w:val="595959"/>
        </w:rPr>
        <w:t xml:space="preserve">P/L dla posiadacza połączenia indeksowego (Premium $500; cena ćwiczenia $45)</w:t>
      </w:r>
    </w:p>
    <w:p>
      <w:pPr>
        <w:spacing w:after="0" w:line="173"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6 000 $</w:t>
      </w:r>
    </w:p>
    <w:p>
      <w:pPr>
        <w:spacing w:after="0" w:line="114"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4 000 $</w:t>
      </w:r>
    </w:p>
    <w:p>
      <w:pPr>
        <w:spacing w:after="0" w:line="114"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2 000 $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- 2 000 $</w:t>
            </w:r>
          </w:p>
        </w:tc>
        <w:tc>
          <w:tcPr>
            <w:tcW w:w="0" w:type="dxa"/>
            <w:vAlign w:val="bottom"/>
          </w:tcPr>
          <w:p>
            <w:pPr>
              <w:spacing w:after="0"/>
              <w:rPr>
                <w:sz w:val="1"/>
                <w:szCs w:val="1"/>
                <w:color w:val="auto"/>
              </w:rPr>
            </w:pPr>
          </w:p>
        </w:tc>
      </w:tr>
    </w:tbl>
    <w:p>
      <w:pPr>
        <w:spacing w:after="0" w:line="15" w:lineRule="exact"/>
        <w:rPr>
          <w:sz w:val="20"/>
          <w:szCs w:val="20"/>
          <w:color w:val="auto"/>
        </w:rPr>
      </w:pPr>
    </w:p>
    <w:p>
      <w:pPr xmlns:w="http://schemas.openxmlformats.org/wordprocessingml/2006/main">
        <w:jc w:val="right"/>
        <w:spacing w:after="0"/>
        <w:tabs>
          <w:tab w:leader="none" w:pos="4020" w:val="left"/>
          <w:tab w:leader="none" w:pos="3280" w:val="left"/>
          <w:tab w:leader="none" w:pos="2520" w:val="left"/>
          <w:tab w:leader="none" w:pos="178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Cena rynkowa indeksu bazowego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Przesunięcie Indeksu Bazowego Dla Rynków Skrajnych (</w:t>
      </w:r>
      <w:r>
        <w:rPr xmlns:w="http://schemas.openxmlformats.org/wordprocessingml/2006/main">
          <w:rFonts w:ascii="Calibri" w:cs="Calibri" w:eastAsia="Calibri" w:hAnsi="Calibri"/>
          <w:sz w:val="16"/>
          <w:szCs w:val="16"/>
          <w:u w:val="single" w:color="auto"/>
          <w:color w:val="FF0000"/>
        </w:rPr>
        <w:t xml:space="preserve">Czerwony Wykres</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Punkt</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$100</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+ 5000 $</w:t>
      </w:r>
    </w:p>
    <w:p>
      <w:pPr>
        <w:spacing w:after="0" w:line="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Umiarkowane Przesunięcie Indeksu Bazowego Rynku (</w:t>
      </w:r>
      <w:r>
        <w:rPr xmlns:w="http://schemas.openxmlformats.org/wordprocessingml/2006/main">
          <w:rFonts w:ascii="Calibri" w:cs="Calibri" w:eastAsia="Calibri" w:hAnsi="Calibri"/>
          <w:sz w:val="16"/>
          <w:szCs w:val="16"/>
          <w:u w:val="single" w:color="auto"/>
          <w:color w:val="00B050"/>
        </w:rPr>
        <w:t xml:space="preserve">Zielony Wykres</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Punkt</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$60</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+ 1000 $</w:t>
      </w:r>
    </w:p>
    <w:p>
      <w:pPr>
        <w:spacing w:after="0" w:line="34" w:lineRule="exact"/>
        <w:rPr>
          <w:sz w:val="20"/>
          <w:szCs w:val="20"/>
          <w:color w:val="auto"/>
        </w:rPr>
      </w:pPr>
    </w:p>
    <w:p>
      <w:pPr xmlns:w="http://schemas.openxmlformats.org/wordprocessingml/2006/main">
        <w:ind w:right="12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plus premia.</w:t>
      </w:r>
    </w:p>
    <w:p>
      <w:pPr>
        <w:spacing w:after="0" w:line="200" w:lineRule="exact"/>
        <w:rPr>
          <w:sz w:val="20"/>
          <w:szCs w:val="20"/>
          <w:color w:val="auto"/>
        </w:rPr>
      </w:pPr>
    </w:p>
    <w:p>
      <w:pPr>
        <w:sectPr>
          <w:pgSz w:w="12240" w:h="15840" w:orient="portrait"/>
          <w:cols w:equalWidth="0" w:num="2">
            <w:col w:w="6020" w:space="440"/>
            <w:col w:w="3880"/>
          </w:cols>
          <w:pgMar w:left="940" w:top="774" w:right="960" w:bottom="281" w:gutter="0" w:footer="0" w:header="0"/>
          <w:type w:val="continuous"/>
        </w:sectPr>
      </w:pPr>
    </w:p>
    <w:p>
      <w:pPr>
        <w:spacing w:after="0" w:line="275" w:lineRule="exact"/>
        <w:rPr>
          <w:sz w:val="20"/>
          <w:szCs w:val="20"/>
          <w:color w:val="auto"/>
        </w:r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wzrośnie.</w:t>
      </w:r>
      <w:r>
        <w:rPr xmlns:w="http://schemas.openxmlformats.org/wordprocessingml/2006/main">
          <w:rFonts w:ascii="Calibri" w:cs="Calibri" w:eastAsia="Calibri" w:hAnsi="Calibri"/>
          <w:sz w:val="22"/>
          <w:szCs w:val="22"/>
          <w:color w:val="auto"/>
        </w:rPr>
        <w:t xml:space="preserve"> To, co otrzymasz, będzie się różnić w zależności od tego, jak wartość instrumentu bazowego zmienia się w czasie,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byłby zysk lub strata produktu.</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Przedstawione dane liczbowe obejmują wszystkie koszty samego produktu, ale mogą nie obejmować wszystkich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340"/>
          </w:cols>
          <w:pgMar w:left="940" w:top="774" w:right="960" w:bottom="281"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koszty, które płacisz doradcy lub dystrybutorowi i nie uwzględniasz swojej osobistej sytuacji podatkowej, co może mieć również wpływ na wysokość otrzymywanych przez Ciebie kwot.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każdej kwoty należnej.</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color w:val="auto"/>
              </w:rPr>
              <w:t xml:space="preserve"> Osoba doradzająca lub sprzedająca</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Koszty W Czasie</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Zakończenie pracy</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Ten produkt może obciążać Cię innymi kosztami.</w:t>
            </w:r>
            <w:r>
              <w:rPr xmlns:w="http://schemas.openxmlformats.org/wordprocessingml/2006/main">
                <w:rFonts w:ascii="Calibri" w:cs="Calibri" w:eastAsia="Calibri" w:hAnsi="Calibri"/>
                <w:sz w:val="22"/>
                <w:szCs w:val="22"/>
                <w:color w:val="auto"/>
              </w:rPr>
              <w:t xml:space="preserve"> Jeśli tak, to</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ogółem</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osoba ta udzieli Ci informacji na ten temat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Roczny wpływ na koszty</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kosztów i ich wpływu na Twoją inwestycję.</w:t>
            </w:r>
            <w:r>
              <w:rPr xmlns:w="http://schemas.openxmlformats.org/wordprocessingml/2006/main">
                <w:rFonts w:ascii="Calibri" w:cs="Calibri" w:eastAsia="Calibri" w:hAnsi="Calibri"/>
                <w:sz w:val="22"/>
                <w:szCs w:val="22"/>
                <w:color w:val="auto"/>
              </w:rPr>
              <w:t xml:space="preserve"> Kruszywo</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Koszty standardowych opcji indeksowych zależą od</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Struktura kosztów</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wiele czynników.</w:t>
            </w:r>
            <w:r>
              <w:rPr xmlns:w="http://schemas.openxmlformats.org/wordprocessingml/2006/main">
                <w:rFonts w:ascii="Calibri" w:cs="Calibri" w:eastAsia="Calibri" w:hAnsi="Calibri"/>
                <w:sz w:val="22"/>
                <w:szCs w:val="22"/>
                <w:color w:val="auto"/>
              </w:rPr>
              <w:t xml:space="preserve"> Premia opcyjna to zapłacony koszt</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Jednorazowe koszty przy wjeździe lub wyjeździe</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Kwota (początkowa)</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przez posiadacza do autora.</w:t>
            </w:r>
            <w:r>
              <w:rPr xmlns:w="http://schemas.openxmlformats.org/wordprocessingml/2006/main">
                <w:rFonts w:ascii="Calibri" w:cs="Calibri" w:eastAsia="Calibri" w:hAnsi="Calibri"/>
                <w:sz w:val="22"/>
                <w:szCs w:val="22"/>
                <w:color w:val="auto"/>
              </w:rPr>
              <w:t xml:space="preserve"> Czynniki mające istotne znaczenie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Premia (określona przez</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wpływ na składkę obejmuje między innymi,</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Koszty wejścia (na</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kupującego i sprzedającego),</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Komisja (ustalona</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wartość indeksu, czas do wygaśnięcia opcji, oraz</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otwarcie (wejście)</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przez biuro maklerskie)</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cena wykonania.</w:t>
            </w:r>
            <w:r>
              <w:rPr xmlns:w="http://schemas.openxmlformats.org/wordprocessingml/2006/main">
                <w:rFonts w:ascii="Calibri" w:cs="Calibri" w:eastAsia="Calibri" w:hAnsi="Calibri"/>
                <w:sz w:val="22"/>
                <w:szCs w:val="22"/>
                <w:color w:val="auto"/>
              </w:rPr>
              <w:t xml:space="preserve"> Inwestowanie w opcje wymaga dodatkowych</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Koszty wyjścia (na</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koszty uwzględniające kwestie podatkowe, koszty transakcji</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i wymogów dotyczących depozytu zabezpieczającego, które mogą mieć istotny wpływ na</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zamykanie (wyjście)</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Premium, Komisja</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zysku lub straty.</w:t>
            </w:r>
            <w:r>
              <w:rPr xmlns:w="http://schemas.openxmlformats.org/wordprocessingml/2006/main">
                <w:rFonts w:ascii="Calibri" w:cs="Calibri" w:eastAsia="Calibri" w:hAnsi="Calibri"/>
                <w:sz w:val="22"/>
                <w:szCs w:val="22"/>
                <w:color w:val="auto"/>
              </w:rPr>
              <w:t xml:space="preserve"> Na koszty transakcyjne składają się przede wszystkim</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Kwota (w dowolnej</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Bieżące</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czasu)</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prowizje (nakładane przy otwieraniu, zamykaniu,</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Zarządzanie</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wykonania i cesji), ale może również</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Opłaty i inne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obejmują koszty marży i odsetek.</w:t>
            </w:r>
            <w:r>
              <w:rPr xmlns:w="http://schemas.openxmlformats.org/wordprocessingml/2006/main">
                <w:rFonts w:ascii="Calibri" w:cs="Calibri" w:eastAsia="Calibri" w:hAnsi="Calibri"/>
                <w:sz w:val="22"/>
                <w:szCs w:val="22"/>
                <w:color w:val="auto"/>
              </w:rPr>
              <w:t xml:space="preserve"> Depozyt zabezpieczający oznacza aktywa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administracyjne lub</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ma zarządzania</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wymagane do złożenia przez emitenta w jego biurze maklerskim</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operacyjne</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opłata</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potwierdzić jako zabezpieczenie zobowiązania do zapłaty wykonania</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Depozyt zabezpieczający (wymagania</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kwota rozliczenia.</w:t>
            </w:r>
            <w:r>
              <w:rPr xmlns:w="http://schemas.openxmlformats.org/wordprocessingml/2006/main">
                <w:rFonts w:ascii="Calibri" w:cs="Calibri" w:eastAsia="Calibri" w:hAnsi="Calibri"/>
                <w:sz w:val="22"/>
                <w:szCs w:val="22"/>
                <w:color w:val="auto"/>
              </w:rPr>
              <w:t xml:space="preserve"> W przypadku wykonania opcji oraz</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mogą ulec zmianie, oraz</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transakcyjne</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może się różnić w zależności od rodzaju pośrednictwa)</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(w toku)</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przypisany, autor może ponieść dodatkowe koszty.</w:t>
            </w:r>
            <w:r>
              <w:rPr xmlns:w="http://schemas.openxmlformats.org/wordprocessingml/2006/main">
                <w:rFonts w:ascii="Calibri" w:cs="Calibri" w:eastAsia="Calibri" w:hAnsi="Calibri"/>
                <w:sz w:val="22"/>
                <w:szCs w:val="22"/>
                <w:color w:val="auto"/>
              </w:rPr>
              <w:t xml:space="preserve"> Oddzielne</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Koszty uboczne ponoszone na określonych warunkach</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od kosztów inwestora, opłat związanych z opłatami</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Opłaty za wyniki</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Brak</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rozliczanie tego produktu członkom rozliczającym, ale nie</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bezpośrednio do Ciebie: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lub wykonaniem opcji.</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kontrakt (kontrakty) opcyjne, czy też zamknąć istniejącą pozycję opcyjną.</w:t>
      </w:r>
      <w:r>
        <w:rPr xmlns:w="http://schemas.openxmlformats.org/wordprocessingml/2006/main">
          <w:rFonts w:ascii="Calibri" w:cs="Calibri" w:eastAsia="Calibri" w:hAnsi="Calibri"/>
          <w:sz w:val="22"/>
          <w:szCs w:val="22"/>
          <w:color w:val="auto"/>
        </w:rPr>
        <w:t xml:space="preserve"> Inwestorzy, którzy zamykają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 mogę złożyć skargę?</w:t>
      </w:r>
      <w:r>
        <w:rPr xmlns:w="http://schemas.openxmlformats.org/wordprocessingml/2006/main">
          <w:rFonts w:ascii="Calibri" w:cs="Calibri" w:eastAsia="Calibri" w:hAnsi="Calibri"/>
          <w:sz w:val="22"/>
          <w:szCs w:val="22"/>
          <w:color w:val="auto"/>
        </w:rPr>
        <w:t xml:space="preserve"> Inwestorzy mogą kontaktować się z OCC pod adresem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Inwestorzy mogą również złożyć skargę do Urzędu Regulacji Sektora Finansowego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lub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Centrum Reklamacji Inwestorów FINRA</w:t>
        <w:tab xmlns:w="http://schemas.openxmlformats.org/wordprocessingml/2006/main"/>
      </w:r>
      <w:r>
        <w:rPr xmlns:w="http://schemas.openxmlformats.org/wordprocessingml/2006/main">
          <w:rFonts w:ascii="Calibri" w:cs="Calibri" w:eastAsia="Calibri" w:hAnsi="Calibri"/>
          <w:sz w:val="20"/>
          <w:szCs w:val="20"/>
          <w:color w:val="auto"/>
        </w:rPr>
        <w:t xml:space="preserve">USA.</w:t>
      </w:r>
      <w:r>
        <w:rPr xmlns:w="http://schemas.openxmlformats.org/wordprocessingml/2006/main">
          <w:rFonts w:ascii="Calibri" w:cs="Calibri" w:eastAsia="Calibri" w:hAnsi="Calibri"/>
          <w:sz w:val="20"/>
          <w:szCs w:val="20"/>
          <w:color w:val="auto"/>
        </w:rPr>
        <w:t xml:space="preserve"> Komisja Papierów Wartościowych i Giełd</w:t>
      </w:r>
    </w:p>
    <w:p>
      <w:pPr xmlns:w="http://schemas.openxmlformats.org/wordprocessingml/2006/main">
        <w:ind w:left="340"/>
        <w:spacing w:after="0" w:line="238" w:lineRule="auto"/>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Biuro Edukacji i Rzecznictwa Inwestorskiego</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Gdzie Indziej Niewymienione.</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Telefon: (240) 386-HELP (4357) Faks: (866) 397-3290</w:t>
        <w:tab xmlns:w="http://schemas.openxmlformats.org/wordprocessingml/2006/main"/>
      </w:r>
      <w:r>
        <w:rPr xmlns:w="http://schemas.openxmlformats.org/wordprocessingml/2006/main">
          <w:rFonts w:ascii="Calibri" w:cs="Calibri" w:eastAsia="Calibri" w:hAnsi="Calibri"/>
          <w:sz w:val="20"/>
          <w:szCs w:val="20"/>
          <w:color w:val="auto"/>
        </w:rPr>
        <w:t xml:space="preserve">Waszyngton, DC 20549-0213 Faks: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7B617FEE"/>
    <w:multiLevelType w:val="hybridMultilevel"/>
    <w:lvl w:ilvl="0">
      <w:lvlJc w:val="left"/>
      <w:lvlText w:val="·"/>
      <w:numFmt w:val="bullet"/>
      <w:start w:val="1"/>
    </w:lvl>
  </w:abstractNum>
  <w:abstractNum w:abstractNumId="1">
    <w:nsid w:val="36606186"/>
    <w:multiLevelType w:val="hybridMultilevel"/>
    <w:lvl w:ilvl="0">
      <w:lvlJc w:val="left"/>
      <w:lvlText w:val="·"/>
      <w:numFmt w:val="bullet"/>
      <w:start w:val="1"/>
    </w:lvl>
  </w:abstractNum>
  <w:abstractNum w:abstractNumId="2">
    <w:nsid w:val="2F2FEBA3"/>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2024-05-21T09:42:37Z</dcterms:created>
  <dcterms:modified xsi:type="dcterms:W3CDTF">2024-05-21T09:42:37Z</dcterms:modified>
</cp:coreProperties>
</file>