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372110</wp:posOffset>
                </wp:positionV>
                <wp:extent cx="69481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481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29.3pt;width:547.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372110</wp:posOffset>
                </wp:positionV>
                <wp:extent cx="68535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535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29.3pt;width:539.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871220</wp:posOffset>
                </wp:positionV>
                <wp:extent cx="69621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8.6pt" to="582.6pt,68.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1746250</wp:posOffset>
                </wp:positionV>
                <wp:extent cx="69621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7.5pt" to="582.6pt,1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2961005</wp:posOffset>
                </wp:positionV>
                <wp:extent cx="69621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33.15pt" to="582.6pt,233.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4501515</wp:posOffset>
                </wp:positionV>
                <wp:extent cx="69621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54.45pt" to="582.6pt,354.4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59599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9599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0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859599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9599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05.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Opties voor futures (korte oproep)</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69475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868680"/>
                        </a:xfrm>
                        <a:prstGeom prst="rect">
                          <a:avLst/>
                        </a:prstGeom>
                        <a:solidFill>
                          <a:srgbClr val="9CC2E5"/>
                        </a:solidFill>
                      </wps:spPr>
                      <wps:bodyPr/>
                    </wps:wsp>
                  </a:graphicData>
                </a:graphic>
              </wp:anchor>
            </w:drawing>
          </mc:Choice>
          <mc:Fallback>
            <w:pict>
              <v:rect id="Shape 10" o:spid="_x0000_s1035" style="position:absolute;margin-left:-5.0499pt;margin-top:2pt;width:547.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Korte call optie voor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opties op futures (a / k / a "futures-opties").</w:t>
      </w:r>
      <w:r>
        <w:rPr xmlns:w="http://schemas.openxmlformats.org/wordprocessingml/2006/main">
          <w:rFonts w:ascii="Calibri" w:cs="Calibri" w:eastAsia="Calibri" w:hAnsi="Calibri"/>
          <w:sz w:val="22"/>
          <w:szCs w:val="22"/>
          <w:color w:val="auto"/>
        </w:rPr>
        <w:t xml:space="preserve"> Futures-opties worden genoteerd en verhandeld op Amerikaanse futures-opties die zijn geregistreerd bij de Amerikaanse Commodity Futures Trading Commission ("CFTC") en worden uitgegeven,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futures-opties verhandelen totdat zij dit document en eventuele aanvullende informatie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futures-beveiligingscontracten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auto"/>
        </w:rPr>
        <w:t xml:space="preserve"> kan omvatten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geïnterpreteerd op een </w:t>
      </w:r>
      <w:r>
        <w:rPr xmlns:w="http://schemas.openxmlformats.org/wordprocessingml/2006/main">
          <w:rFonts w:ascii="Calibri" w:cs="Calibri" w:eastAsia="Calibri" w:hAnsi="Calibri"/>
          <w:sz w:val="22"/>
          <w:szCs w:val="22"/>
          <w:color w:val="000000"/>
        </w:rPr>
        <w:t xml:space="preserve">manier die in overeenstemming is met deze openbaarmakingen.</w:t>
      </w:r>
      <w:r>
        <w:rPr xmlns:w="http://schemas.openxmlformats.org/wordprocessingml/2006/main">
          <w:rFonts w:ascii="Calibri" w:cs="Calibri" w:eastAsia="Calibri" w:hAnsi="Calibri"/>
          <w:sz w:val="22"/>
          <w:szCs w:val="22"/>
          <w:color w:val="000000"/>
        </w:rPr>
        <w:t xml:space="preserve"> Omdat de onderliggende waarde van een futuresoptie een futurescontract is, moeten beleggers bovendien het relevante essentiële-informatiedocument voor het futurescontract dat aan de futuresoptie ten grondslag ligt, lezen en begrijpen.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6947535" cy="44481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47535" cy="4448175"/>
                        </a:xfrm>
                        <a:prstGeom prst="rect">
                          <a:avLst/>
                        </a:prstGeom>
                        <a:solidFill>
                          <a:srgbClr val="BDD6EE"/>
                        </a:solidFill>
                      </wps:spPr>
                      <wps:bodyPr/>
                    </wps:wsp>
                  </a:graphicData>
                </a:graphic>
              </wp:anchor>
            </w:drawing>
          </mc:Choice>
          <mc:Fallback>
            <w:pict>
              <v:rect id="Shape 11" o:spid="_x0000_s1036" style="position:absolute;margin-left:-5.0499pt;margin-top:1.9pt;width:547.05pt;height:35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1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Een futures-optie is het recht om een specifiek futures-contract te kopen of verkopen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door de optie uit te oefenen vóór de opgegeven vervaldatum.</w:t>
      </w:r>
      <w:r>
        <w:rPr xmlns:w="http://schemas.openxmlformats.org/wordprocessingml/2006/main">
          <w:rFonts w:ascii="Calibri" w:cs="Calibri" w:eastAsia="Calibri" w:hAnsi="Calibri"/>
          <w:sz w:val="22"/>
          <w:szCs w:val="22"/>
          <w:color w:val="auto"/>
        </w:rPr>
        <w:t xml:space="preserve"> De blootstelling aan het onderliggende futurescontract en aan het onderliggende belang is derhalve indirect, omdat de waarde van de optie wordt afgeleid van de waarde van de onderliggende toekomst.</w:t>
      </w:r>
      <w:r>
        <w:rPr xmlns:w="http://schemas.openxmlformats.org/wordprocessingml/2006/main">
          <w:rFonts w:ascii="Calibri" w:cs="Calibri" w:eastAsia="Calibri" w:hAnsi="Calibri"/>
          <w:sz w:val="22"/>
          <w:szCs w:val="22"/>
          <w:color w:val="auto"/>
        </w:rPr>
        <w:t xml:space="preserve"> Vervaldata voor futures 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kan de Amerikaanse futures-optiebeurs de optie eenzijdig beëindigen.</w:t>
      </w:r>
      <w:r>
        <w:rPr xmlns:w="http://schemas.openxmlformats.org/wordprocessingml/2006/main">
          <w:rFonts w:ascii="Calibri" w:cs="Calibri" w:eastAsia="Calibri" w:hAnsi="Calibri"/>
          <w:sz w:val="22"/>
          <w:szCs w:val="22"/>
          <w:color w:val="auto"/>
        </w:rPr>
        <w:t xml:space="preserve"> Een bedrijfsevenement waarbij het onderliggende futurescontract of het onderliggende belang van dat futurescontract betrokken is, kan resulteren in een wijziging van de voorwaarden van de optie volgens de regels van OCC, die kunnen verschillen van de methodologie die op Europese markten wordt gebruikt.</w:t>
      </w:r>
    </w:p>
    <w:p>
      <w:pPr>
        <w:spacing w:after="0" w:line="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volgens de voorwaarden te presteren om het onderliggende futurescontract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Futures-opties worden over het algemeen afgewikkeld door middel van oefening in het onderliggende futurescontract.</w:t>
      </w:r>
      <w:r>
        <w:rPr xmlns:w="http://schemas.openxmlformats.org/wordprocessingml/2006/main">
          <w:rFonts w:ascii="Calibri" w:cs="Calibri" w:eastAsia="Calibri" w:hAnsi="Calibri"/>
          <w:sz w:val="22"/>
          <w:szCs w:val="22"/>
          <w:color w:val="auto"/>
        </w:rPr>
        <w:t xml:space="preserve"> Dit betekent dat de schrijver van een call-optie, bij uitoefening, een shortpositie in het onderliggende futurescontract zou verwerven tegen de uitoefenprijs van de optie.</w:t>
      </w:r>
      <w:r>
        <w:rPr xmlns:w="http://schemas.openxmlformats.org/wordprocessingml/2006/main">
          <w:rFonts w:ascii="Calibri" w:cs="Calibri" w:eastAsia="Calibri" w:hAnsi="Calibri"/>
          <w:sz w:val="22"/>
          <w:szCs w:val="22"/>
          <w:color w:val="auto"/>
        </w:rPr>
        <w:t xml:space="preserve"> Sommige futures-opties kunnen in plaats daarvan in contanten worden afgewikkeld, in welk geval de schrijver een contante betaling zou doen als bij de uitoefening de waarde van de onderliggende toekomst de uitoefenprijs overschrijdt.</w:t>
      </w:r>
      <w:r>
        <w:rPr xmlns:w="http://schemas.openxmlformats.org/wordprocessingml/2006/main">
          <w:rFonts w:ascii="Calibri" w:cs="Calibri" w:eastAsia="Calibri" w:hAnsi="Calibri"/>
          <w:sz w:val="22"/>
          <w:szCs w:val="22"/>
          <w:color w:val="auto"/>
        </w:rPr>
        <w:t xml:space="preserve"> Factoren die van invloed zijn op de waarde van een futures-optie zijn onder meer de uitoefenprijs, de tijd tot het verstrijken en de waarde van het onderliggende futurescontract en de gevoeligheid ervan voor prijsschommelingen (volatiliteit).</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17780</wp:posOffset>
                </wp:positionV>
                <wp:extent cx="69615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pt" to="542.6pt,1.4pt" o:allowincell="f" strokecolor="#000000" strokeweight="0.4799pt"/>
            </w:pict>
          </mc:Fallback>
        </mc:AlternateContent>
      </w:r>
    </w:p>
    <w:p>
      <w:pPr>
        <w:sectPr>
          <w:pgSz w:w="12240" w:h="15840" w:orient="portrait"/>
          <w:cols w:equalWidth="0" w:num="1">
            <w:col w:w="10740"/>
          </w:cols>
          <w:pgMar w:left="800" w:top="555" w:right="7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900112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112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900112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112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1118235</wp:posOffset>
            </wp:positionH>
            <wp:positionV relativeFrom="paragraph">
              <wp:posOffset>15875</wp:posOffset>
            </wp:positionV>
            <wp:extent cx="4942205" cy="18091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2205" cy="1809115"/>
                    </a:xfrm>
                    <a:prstGeom prst="rect">
                      <a:avLst/>
                    </a:prstGeom>
                    <a:noFill/>
                  </pic:spPr>
                </pic:pic>
              </a:graphicData>
            </a:graphic>
          </wp:anchor>
        </w:drawing>
        <w:drawing>
          <wp:anchor simplePos="0" relativeHeight="251657728" behindDoc="1" locked="0" layoutInCell="0" allowOverlap="1">
            <wp:simplePos x="0" y="0"/>
            <wp:positionH relativeFrom="column">
              <wp:posOffset>1118235</wp:posOffset>
            </wp:positionH>
            <wp:positionV relativeFrom="paragraph">
              <wp:posOffset>15875</wp:posOffset>
            </wp:positionV>
            <wp:extent cx="4942205"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2205"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voorwaarden, maar kan het volgende omvatten:</w:t>
      </w:r>
    </w:p>
    <w:p>
      <w:pPr>
        <w:spacing w:after="0" w:line="79" w:lineRule="exact"/>
        <w:rPr>
          <w:sz w:val="20"/>
          <w:szCs w:val="20"/>
          <w:color w:val="auto"/>
        </w:rPr>
      </w:pPr>
    </w:p>
    <w:p>
      <w:pPr xmlns:w="http://schemas.openxmlformats.org/wordprocessingml/2006/main">
        <w:ind w:left="220" w:hanging="218"/>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schrijver kan worden verplicht om te voldoen aan de verplichting om de onderliggende waarde te kopen of te verkopen op elk moment waarop de optie vanwege de stijl uitoefenbaar is.</w:t>
      </w:r>
      <w:r>
        <w:rPr xmlns:w="http://schemas.openxmlformats.org/wordprocessingml/2006/main">
          <w:rFonts w:ascii="Calibri" w:cs="Calibri" w:eastAsia="Calibri" w:hAnsi="Calibri"/>
          <w:sz w:val="22"/>
          <w:szCs w:val="22"/>
          <w:color w:val="auto"/>
        </w:rPr>
        <w:t xml:space="preserve"> Een call-optieschrijver die geen eigenaar is van het onderliggende futurescontract (ongedekte call) draagt het risico van mogelijk onbeperkt verlies naarmate de prijs van de onderliggende rente stijgt.</w:t>
      </w:r>
      <w:r>
        <w:rPr xmlns:w="http://schemas.openxmlformats.org/wordprocessingml/2006/main">
          <w:rFonts w:ascii="Calibri" w:cs="Calibri" w:eastAsia="Calibri" w:hAnsi="Calibri"/>
          <w:sz w:val="22"/>
          <w:szCs w:val="22"/>
          <w:color w:val="auto"/>
        </w:rPr>
        <w:t xml:space="preserve"> Schrijvers van dergelijke ongedekte oproepen zijn verplicht om marge (hieronder beschreven) bij hun makelaar te plaatsen, wat extra risico's creëert.</w:t>
      </w:r>
    </w:p>
    <w:p>
      <w:pPr>
        <w:spacing w:after="0" w:line="80" w:lineRule="exact"/>
        <w:rPr>
          <w:rFonts w:ascii="Symbol" w:cs="Symbol" w:eastAsia="Symbol" w:hAnsi="Symbol"/>
          <w:sz w:val="22"/>
          <w:szCs w:val="22"/>
          <w:color w:val="auto"/>
        </w:rPr>
      </w:pPr>
    </w:p>
    <w:p>
      <w:pPr xmlns:w="http://schemas.openxmlformats.org/wordprocessingml/2006/main">
        <w:jc w:val="both"/>
        <w:ind w:left="220" w:right="28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futures-optiebeurs waar futures-opties uitsluitend worden verhandeld, niet meer beschikbaar is, kunnen beleggers niet langer transacties sluiten.</w:t>
      </w:r>
      <w:r>
        <w:rPr xmlns:w="http://schemas.openxmlformats.org/wordprocessingml/2006/main">
          <w:rFonts w:ascii="Calibri" w:cs="Calibri" w:eastAsia="Calibri" w:hAnsi="Calibri"/>
          <w:sz w:val="22"/>
          <w:szCs w:val="22"/>
          <w:color w:val="auto"/>
        </w:rPr>
        <w:t xml:space="preserve"> Bovendien kunnen er momenten zijn waarop futures-optieprijzen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16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futurescontract voor een uitgeoefende optie niet beschikbaar is, kunnen de regels van OCC een alternatieve vorm van afwikkeling vereisen, zoals afwikkeling in contanten.</w:t>
      </w:r>
    </w:p>
    <w:p>
      <w:pPr>
        <w:spacing w:after="0" w:line="80" w:lineRule="exact"/>
        <w:rPr>
          <w:rFonts w:ascii="Symbol" w:cs="Symbol" w:eastAsia="Symbol" w:hAnsi="Symbol"/>
          <w:sz w:val="22"/>
          <w:szCs w:val="22"/>
          <w:color w:val="auto"/>
        </w:rPr>
      </w:pPr>
    </w:p>
    <w:p>
      <w:pPr xmlns:w="http://schemas.openxmlformats.org/wordprocessingml/2006/main">
        <w:ind w:left="220" w:right="8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Beleggers moeten rekening houden met het risico- en beloningsprofiel van het futurescontract dat ten grondslag ligt aan de futuresoptie, zoals beschreven in het relevante essentiële-informatiedocument voor het onderliggende futurescontract.</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280" w:hanging="218"/>
        <w:spacing w:after="0" w:line="201"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is niet</w:t>
      </w:r>
    </w:p>
    <w:p>
      <w:pPr>
        <w:spacing w:after="0" w:line="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in de indicator hierboven.</w:t>
      </w:r>
    </w:p>
    <w:p>
      <w:pPr>
        <w:spacing w:after="0" w:line="67"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644640" cy="1659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644640" cy="165989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644640" cy="16598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644640" cy="1659890"/>
                    </a:xfrm>
                    <a:prstGeom prst="rect">
                      <a:avLst/>
                    </a:prstGeom>
                    <a:noFill/>
                  </pic:spPr>
                </pic:pic>
              </a:graphicData>
            </a:graphic>
          </wp:anchor>
        </w:drawing>
      </w:r>
    </w:p>
    <w:p>
      <w:pPr>
        <w:sectPr>
          <w:pgSz w:w="12240" w:h="15840" w:orient="portrait"/>
          <w:cols w:equalWidth="0" w:num="1">
            <w:col w:w="10740"/>
          </w:cols>
          <w:pgMar w:left="800" w:top="562" w:right="700" w:bottom="564"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oproep (Premium $ 5; Oefenprijs $ 45)</w:t>
      </w:r>
    </w:p>
    <w:p>
      <w:pPr>
        <w:spacing w:after="0" w:line="127" w:lineRule="exact"/>
        <w:rPr>
          <w:sz w:val="20"/>
          <w:szCs w:val="20"/>
          <w:color w:val="auto"/>
        </w:rPr>
      </w:pPr>
    </w:p>
    <w:tbl>
      <w:tblPr>
        <w:tblLayout w:type="fixed"/>
        <w:tblInd w:w="440" w:type="dxa"/>
        <w:tblCellMar>
          <w:top w:w="0" w:type="dxa"/>
          <w:left w:w="0" w:type="dxa"/>
          <w:bottom w:w="0" w:type="dxa"/>
          <w:right w:w="0" w:type="dxa"/>
        </w:tblCellMar>
      </w:tblPr>
      <w:tr>
        <w:trPr>
          <w:trHeight w:val="220"/>
        </w:trPr>
        <w:tc>
          <w:tcPr>
            <w:tcW w:w="160" w:type="dxa"/>
            <w:vAlign w:val="bottom"/>
          </w:tcPr>
          <w:p>
            <w:pPr>
              <w:spacing w:after="0"/>
              <w:rPr>
                <w:sz w:val="19"/>
                <w:szCs w:val="19"/>
                <w:color w:val="auto"/>
              </w:rPr>
            </w:pP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$ 50</w:t>
            </w:r>
          </w:p>
        </w:tc>
        <w:tc>
          <w:tcPr>
            <w:tcW w:w="0" w:type="dxa"/>
            <w:vAlign w:val="bottom"/>
          </w:tcPr>
          <w:p>
            <w:pPr>
              <w:spacing w:after="0"/>
              <w:rPr>
                <w:sz w:val="1"/>
                <w:szCs w:val="1"/>
                <w:color w:val="auto"/>
              </w:rPr>
            </w:pPr>
          </w:p>
        </w:tc>
      </w:tr>
      <w:tr>
        <w:trPr>
          <w:trHeight w:val="314"/>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0" w:type="dxa"/>
            <w:vAlign w:val="bottom"/>
          </w:tcPr>
          <w:p>
            <w:pPr>
              <w:spacing w:after="0"/>
              <w:rPr>
                <w:sz w:val="1"/>
                <w:szCs w:val="1"/>
                <w:color w:val="auto"/>
              </w:rPr>
            </w:pPr>
          </w:p>
        </w:tc>
      </w:tr>
      <w:tr>
        <w:trPr>
          <w:trHeight w:val="182"/>
        </w:trPr>
        <w:tc>
          <w:tcPr>
            <w:tcW w:w="160" w:type="dxa"/>
            <w:vAlign w:val="bottom"/>
            <w:vMerge w:val="continue"/>
          </w:tcPr>
          <w:p>
            <w:pPr>
              <w:spacing w:after="0"/>
              <w:rPr>
                <w:sz w:val="15"/>
                <w:szCs w:val="15"/>
                <w:color w:val="auto"/>
              </w:rPr>
            </w:pPr>
          </w:p>
        </w:tc>
        <w:tc>
          <w:tcPr>
            <w:tcW w:w="5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-$ 50</w:t>
            </w:r>
          </w:p>
        </w:tc>
        <w:tc>
          <w:tcPr>
            <w:tcW w:w="0" w:type="dxa"/>
            <w:vAlign w:val="bottom"/>
          </w:tcPr>
          <w:p>
            <w:pPr>
              <w:spacing w:after="0"/>
              <w:rPr>
                <w:sz w:val="1"/>
                <w:szCs w:val="1"/>
                <w:color w:val="auto"/>
              </w:rPr>
            </w:pPr>
          </w:p>
        </w:tc>
      </w:tr>
      <w:tr>
        <w:trPr>
          <w:trHeight w:val="135"/>
        </w:trPr>
        <w:tc>
          <w:tcPr>
            <w:tcW w:w="160" w:type="dxa"/>
            <w:vAlign w:val="bottom"/>
          </w:tcPr>
          <w:p>
            <w:pPr>
              <w:spacing w:after="0"/>
              <w:rPr>
                <w:sz w:val="11"/>
                <w:szCs w:val="11"/>
                <w:color w:val="auto"/>
              </w:rPr>
            </w:pPr>
          </w:p>
        </w:tc>
        <w:tc>
          <w:tcPr>
            <w:tcW w:w="50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314"/>
        </w:trPr>
        <w:tc>
          <w:tcPr>
            <w:tcW w:w="160" w:type="dxa"/>
            <w:vAlign w:val="bottom"/>
          </w:tcPr>
          <w:p>
            <w:pPr>
              <w:spacing w:after="0"/>
              <w:rPr>
                <w:sz w:val="24"/>
                <w:szCs w:val="24"/>
                <w:color w:val="auto"/>
              </w:rPr>
            </w:pPr>
          </w:p>
        </w:tc>
        <w:tc>
          <w:tcPr>
            <w:tcW w:w="5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0" w:type="dxa"/>
            <w:vAlign w:val="bottom"/>
          </w:tcPr>
          <w:p>
            <w:pPr>
              <w:spacing w:after="0"/>
              <w:rPr>
                <w:sz w:val="1"/>
                <w:szCs w:val="1"/>
                <w:color w:val="auto"/>
              </w:rPr>
            </w:pPr>
          </w:p>
        </w:tc>
      </w:tr>
    </w:tbl>
    <w:p>
      <w:pPr>
        <w:spacing w:after="0" w:line="13" w:lineRule="exact"/>
        <w:rPr>
          <w:sz w:val="20"/>
          <w:szCs w:val="20"/>
          <w:color w:val="auto"/>
        </w:rPr>
      </w:pPr>
    </w:p>
    <w:p>
      <w:pPr xmlns:w="http://schemas.openxmlformats.org/wordprocessingml/2006/main">
        <w:jc w:val="right"/>
        <w:spacing w:after="0"/>
        <w:tabs>
          <w:tab w:leader="none" w:pos="3280" w:val="left"/>
          <w:tab w:leader="none" w:pos="2680" w:val="left"/>
          <w:tab w:leader="none" w:pos="2080" w:val="left"/>
          <w:tab w:leader="none" w:pos="1500" w:val="left"/>
          <w:tab w:leader="none" w:pos="94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7"/>
          <w:szCs w:val="17"/>
          <w:color w:val="595959"/>
        </w:rPr>
        <w:t xml:space="preserve">$ 120</w:t>
      </w:r>
    </w:p>
    <w:p>
      <w:pPr>
        <w:spacing w:after="0" w:line="62" w:lineRule="exact"/>
        <w:rPr>
          <w:sz w:val="20"/>
          <w:szCs w:val="20"/>
          <w:color w:val="auto"/>
        </w:rPr>
      </w:pPr>
    </w:p>
    <w:p>
      <w:pPr xmlns:w="http://schemas.openxmlformats.org/wordprocessingml/2006/main">
        <w:ind w:left="216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beweging (</w:t>
      </w:r>
      <w:r>
        <w:rPr xmlns:w="http://schemas.openxmlformats.org/wordprocessingml/2006/main">
          <w:rFonts w:ascii="Calibri" w:cs="Calibri" w:eastAsia="Calibri" w:hAnsi="Calibri"/>
          <w:sz w:val="16"/>
          <w:szCs w:val="16"/>
          <w:u w:val="single" w:color="auto"/>
          <w:color w:val="FF0000"/>
        </w:rPr>
        <w:t xml:space="preserve">Rode Plot Point</w:t>
      </w:r>
      <w:r>
        <w:rPr xmlns:w="http://schemas.openxmlformats.org/wordprocessingml/2006/main">
          <w:rFonts w:ascii="Calibri" w:cs="Calibri" w:eastAsia="Calibri" w:hAnsi="Calibri"/>
          <w:sz w:val="16"/>
          <w:szCs w:val="16"/>
          <w:u w:val="single" w:color="auto"/>
          <w:color w:val="auto"/>
        </w:rPr>
        <w:t xml:space="preserve">)</w:t>
      </w:r>
    </w:p>
    <w:p>
      <w:pPr>
        <w:spacing w:after="0" w:line="1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75"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onderliggende marktbeweging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75"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194" w:lineRule="exact"/>
        <w:rPr>
          <w:sz w:val="20"/>
          <w:szCs w:val="20"/>
          <w:color w:val="auto"/>
        </w:rPr>
      </w:pPr>
    </w:p>
    <w:p>
      <w:pPr xmlns:w="http://schemas.openxmlformats.org/wordprocessingml/2006/main">
        <w:ind w:right="4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200" w:lineRule="exact"/>
        <w:rPr>
          <w:sz w:val="20"/>
          <w:szCs w:val="20"/>
          <w:color w:val="auto"/>
        </w:rPr>
      </w:pPr>
    </w:p>
    <w:p>
      <w:pPr>
        <w:sectPr>
          <w:pgSz w:w="12240" w:h="15840" w:orient="portrait"/>
          <w:cols w:equalWidth="0" w:num="2">
            <w:col w:w="5000" w:space="380"/>
            <w:col w:w="5360"/>
          </w:cols>
          <w:pgMar w:left="800" w:top="562" w:right="700" w:bottom="564" w:gutter="0" w:footer="0" w:header="0"/>
          <w:type w:val="continuous"/>
        </w:sectPr>
      </w:pPr>
    </w:p>
    <w:p>
      <w:pPr>
        <w:spacing w:after="0" w:line="50" w:lineRule="exact"/>
        <w:rPr>
          <w:sz w:val="20"/>
          <w:szCs w:val="20"/>
          <w:color w:val="auto"/>
        </w:rPr>
      </w:pPr>
    </w:p>
    <w:p>
      <w:pPr xmlns:w="http://schemas.openxmlformats.org/wordprocessingml/2006/main">
        <w:ind w:right="8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20955</wp:posOffset>
                </wp:positionV>
                <wp:extent cx="696150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15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65pt" to="542.6pt,1.65pt" o:allowincell="f" strokecolor="#000000" strokeweight="0.4799pt"/>
            </w:pict>
          </mc:Fallback>
        </mc:AlternateContent>
      </w:r>
    </w:p>
    <w:p>
      <w:pPr>
        <w:sectPr>
          <w:pgSz w:w="12240" w:h="15840" w:orient="portrait"/>
          <w:cols w:equalWidth="0" w:num="1">
            <w:col w:w="10740"/>
          </w:cols>
          <w:pgMar w:left="800" w:top="562" w:right="700" w:bottom="564" w:gutter="0" w:footer="0" w:header="0"/>
          <w:type w:val="continuous"/>
        </w:sectPr>
      </w:pPr>
    </w:p>
    <w:bookmarkStart w:id="2" w:name="page3"/>
    <w:bookmarkEnd w:id="2"/>
    <w:p>
      <w:pPr xmlns:w="http://schemas.openxmlformats.org/wordprocessingml/2006/main">
        <w:spacing w:after="0" w:line="202" w:lineRule="auto"/>
        <w:framePr w:w="1380" w:h="134" w:wrap="auto" w:vAnchor="page" w:hAnchor="page" w:x="638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Prestatievergoedingen</w:t>
      </w:r>
    </w:p>
    <w:p>
      <w:pPr xmlns:w="http://schemas.openxmlformats.org/wordprocessingml/2006/main">
        <w:spacing w:after="0" w:line="202" w:lineRule="auto"/>
        <w:framePr w:w="460" w:h="134" w:wrap="auto" w:vAnchor="page" w:hAnchor="page" w:x="792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Geen</w:t>
      </w:r>
    </w:p>
    <w:p>
      <w:pPr xmlns:w="http://schemas.openxmlformats.org/wordprocessingml/2006/main">
        <w:spacing w:after="0" w:line="202" w:lineRule="auto"/>
        <w:framePr w:w="360" w:h="134" w:wrap="auto" w:vAnchor="page" w:hAnchor="page" w:x="10080" w:y="8931"/>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N.v.t.</w:t>
      </w:r>
    </w:p>
    <w:p>
      <w:pPr xmlns:w="http://schemas.openxmlformats.org/wordprocessingml/2006/main">
        <w:spacing w:after="0" w:line="202" w:lineRule="auto"/>
        <w:framePr w:w="3540" w:h="134" w:wrap="auto" w:vAnchor="page" w:hAnchor="page" w:x="6380" w:y="8624"/>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Incidentele kosten die onder specifieke voorwaarden worden gemaakt</w:t>
      </w:r>
    </w:p>
    <w:p>
      <w:pPr xmlns:w="http://schemas.openxmlformats.org/wordprocessingml/2006/main">
        <w:spacing w:after="0" w:line="202" w:lineRule="auto"/>
        <w:framePr w:w="1340" w:h="134" w:wrap="auto" w:vAnchor="page" w:hAnchor="page" w:x="6380" w:y="8314"/>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Transactiekosten</w:t>
      </w:r>
    </w:p>
    <w:p>
      <w:pPr xmlns:w="http://schemas.openxmlformats.org/wordprocessingml/2006/main">
        <w:spacing w:after="0" w:line="203" w:lineRule="auto"/>
        <w:framePr w:w="760" w:h="352" w:wrap="auto" w:vAnchor="page" w:hAnchor="page" w:x="10080" w:y="8096"/>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Variabele (lopend)</w:t>
      </w:r>
    </w:p>
    <w:p>
      <w:pPr xmlns:w="http://schemas.openxmlformats.org/wordprocessingml/2006/main">
        <w:spacing w:after="0" w:line="220" w:lineRule="auto"/>
        <w:framePr w:w="1960" w:h="573" w:wrap="auto" w:vAnchor="page" w:hAnchor="page" w:x="7920" w:y="7875"/>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Marge (vereisten zijn onderhevig aan verandering en kunnen variëren </w:t>
      </w:r>
      <w:r>
        <w:rPr xmlns:w="http://schemas.openxmlformats.org/wordprocessingml/2006/main">
          <w:rFonts w:ascii="Calibri" w:cs="Calibri" w:eastAsia="Calibri" w:hAnsi="Calibri"/>
          <w:sz w:val="17"/>
          <w:szCs w:val="17"/>
          <w:u w:val="single" w:color="auto"/>
          <w:color w:val="auto"/>
          <w:highlight w:val="lightGray"/>
        </w:rPr>
        <w:t xml:space="preserve">per makelaardij</w:t>
      </w:r>
      <w:r>
        <w:rPr xmlns:w="http://schemas.openxmlformats.org/wordprocessingml/2006/main">
          <w:rFonts w:ascii="Calibri" w:cs="Calibri" w:eastAsia="Calibri" w:hAnsi="Calibri"/>
          <w:sz w:val="17"/>
          <w:szCs w:val="17"/>
          <w:color w:val="auto"/>
          <w:highlight w:val="lightGray"/>
        </w:rPr>
        <w:t xml:space="preserve">)</w:t>
      </w:r>
    </w:p>
    <w:p>
      <w:pPr xmlns:w="http://schemas.openxmlformats.org/wordprocessingml/2006/main">
        <w:spacing w:after="0" w:line="202" w:lineRule="auto"/>
        <w:framePr w:w="360" w:h="134" w:wrap="auto" w:vAnchor="page" w:hAnchor="page" w:x="10080" w:y="7635"/>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N.v.t.</w:t>
      </w:r>
    </w:p>
    <w:p>
      <w:pPr xmlns:w="http://schemas.openxmlformats.org/wordprocessingml/2006/main">
        <w:spacing w:after="0" w:line="192" w:lineRule="auto"/>
        <w:framePr w:w="1900" w:h="352" w:wrap="auto" w:vAnchor="page" w:hAnchor="page" w:x="7920" w:y="741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Er zijn geen </w:t>
      </w:r>
      <w:r>
        <w:rPr xmlns:w="http://schemas.openxmlformats.org/wordprocessingml/2006/main">
          <w:rFonts w:ascii="Calibri" w:cs="Calibri" w:eastAsia="Calibri" w:hAnsi="Calibri"/>
          <w:sz w:val="18"/>
          <w:szCs w:val="18"/>
          <w:u w:val="single" w:color="auto"/>
          <w:color w:val="auto"/>
          <w:highlight w:val="lightGray"/>
        </w:rPr>
        <w:t xml:space="preserve">beheerskosten</w:t>
      </w:r>
    </w:p>
    <w:p>
      <w:pPr xmlns:w="http://schemas.openxmlformats.org/wordprocessingml/2006/main">
        <w:spacing w:after="0" w:line="202" w:lineRule="auto"/>
        <w:framePr w:w="1120" w:h="134" w:wrap="auto" w:vAnchor="page" w:hAnchor="page" w:x="6380" w:y="6737"/>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Lopende kosten</w:t>
      </w:r>
    </w:p>
    <w:p>
      <w:pPr xmlns:w="http://schemas.openxmlformats.org/wordprocessingml/2006/main">
        <w:spacing w:after="0" w:line="216" w:lineRule="auto"/>
        <w:framePr w:w="1340" w:h="791" w:wrap="auto" w:vAnchor="page" w:hAnchor="page" w:x="6380" w:y="697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Beheerskosten en andere administratieve of exploitatiekosten</w:t>
      </w:r>
    </w:p>
    <w:p>
      <w:pPr xmlns:w="http://schemas.openxmlformats.org/wordprocessingml/2006/main">
        <w:spacing w:after="0" w:line="193" w:lineRule="auto"/>
        <w:framePr w:w="1200" w:h="355" w:wrap="auto" w:vAnchor="page" w:hAnchor="page" w:x="10080" w:y="6517"/>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Bedrag (op elk moment)</w:t>
      </w:r>
    </w:p>
    <w:p>
      <w:pPr xmlns:w="http://schemas.openxmlformats.org/wordprocessingml/2006/main">
        <w:spacing w:after="0" w:line="202" w:lineRule="auto"/>
        <w:framePr w:w="1720" w:h="134" w:wrap="auto" w:vAnchor="page" w:hAnchor="page" w:x="7920" w:y="627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Premie, Commissie</w:t>
      </w:r>
    </w:p>
    <w:p>
      <w:pPr xmlns:w="http://schemas.openxmlformats.org/wordprocessingml/2006/main">
        <w:spacing w:after="0" w:line="202" w:lineRule="auto"/>
        <w:framePr w:w="680" w:h="134" w:wrap="auto" w:vAnchor="page" w:hAnchor="page" w:x="10080" w:y="627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02" w:lineRule="auto"/>
        <w:framePr w:w="680" w:h="134" w:wrap="auto" w:vAnchor="page" w:hAnchor="page" w:x="10080" w:y="56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21" w:lineRule="auto"/>
        <w:framePr w:w="1260" w:h="575" w:wrap="auto" w:vAnchor="page" w:hAnchor="page" w:x="6380" w:y="5158"/>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Invoerkosten (per transactie - opening (vermelding))</w:t>
      </w:r>
    </w:p>
    <w:p>
      <w:pPr xmlns:w="http://schemas.openxmlformats.org/wordprocessingml/2006/main">
        <w:spacing w:after="0" w:line="221" w:lineRule="auto"/>
        <w:framePr w:w="1120" w:h="575" w:wrap="auto" w:vAnchor="page" w:hAnchor="page" w:x="6380" w:y="5837"/>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Exitkosten (per transactie - afsluiten (afsluiten))</w:t>
      </w:r>
    </w:p>
    <w:p>
      <w:pPr xmlns:w="http://schemas.openxmlformats.org/wordprocessingml/2006/main">
        <w:spacing w:after="0" w:line="202" w:lineRule="auto"/>
        <w:framePr w:w="1220" w:h="134" w:wrap="auto" w:vAnchor="page" w:hAnchor="page" w:x="10080" w:y="47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Bedrag (initieel)</w:t>
      </w:r>
    </w:p>
    <w:p>
      <w:pPr xmlns:w="http://schemas.openxmlformats.org/wordprocessingml/2006/main">
        <w:spacing w:after="0" w:line="202" w:lineRule="auto"/>
        <w:framePr w:w="2420" w:h="134" w:wrap="auto" w:vAnchor="page" w:hAnchor="page" w:x="6380" w:y="4700"/>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Eenmalige kosten bij binnenkomst of vertrek</w:t>
      </w:r>
    </w:p>
    <w:p>
      <w:pPr xmlns:w="http://schemas.openxmlformats.org/wordprocessingml/2006/main">
        <w:spacing w:after="0" w:line="229" w:lineRule="auto"/>
        <w:framePr w:w="1920" w:h="794" w:wrap="auto" w:vAnchor="page" w:hAnchor="page" w:x="7920" w:y="4940"/>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Premium (bepaald door koper en verkoper), Commissie (bepaald door makelaarskantoor)</w:t>
      </w:r>
    </w:p>
    <w:p>
      <w:pPr xmlns:w="http://schemas.openxmlformats.org/wordprocessingml/2006/main">
        <w:spacing w:after="0" w:line="189" w:lineRule="auto"/>
        <w:framePr w:w="1660" w:h="125" w:wrap="auto" w:vAnchor="page" w:hAnchor="page" w:x="6380" w:y="443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Samenstelling van de kosten</w:t>
      </w:r>
    </w:p>
    <w:p>
      <w:pPr xmlns:w="http://schemas.openxmlformats.org/wordprocessingml/2006/main">
        <w:spacing w:after="0" w:line="202" w:lineRule="auto"/>
        <w:framePr w:w="1500" w:h="134" w:wrap="auto" w:vAnchor="page" w:hAnchor="page" w:x="6380" w:y="391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jaarlijkse kostenimpact</w:t>
      </w:r>
    </w:p>
    <w:p>
      <w:pPr xmlns:w="http://schemas.openxmlformats.org/wordprocessingml/2006/main">
        <w:spacing w:after="0" w:line="202" w:lineRule="auto"/>
        <w:framePr w:w="620" w:h="134" w:wrap="auto" w:vAnchor="page" w:hAnchor="page" w:x="10080" w:y="391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202" w:lineRule="auto"/>
        <w:framePr w:w="880" w:h="134" w:wrap="auto" w:vAnchor="page" w:hAnchor="page" w:x="6380" w:y="363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Totale kosten</w:t>
      </w:r>
    </w:p>
    <w:p>
      <w:pPr xmlns:w="http://schemas.openxmlformats.org/wordprocessingml/2006/main">
        <w:spacing w:after="0" w:line="202" w:lineRule="auto"/>
        <w:framePr w:w="620" w:h="134" w:wrap="auto" w:vAnchor="page" w:hAnchor="page" w:x="10080" w:y="363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189" w:lineRule="auto"/>
        <w:framePr w:w="1300" w:h="125" w:wrap="auto" w:vAnchor="page" w:hAnchor="page" w:x="6380" w:y="337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Kosten in de tijd</w:t>
      </w:r>
    </w:p>
    <w:p>
      <w:pPr xmlns:w="http://schemas.openxmlformats.org/wordprocessingml/2006/main">
        <w:spacing w:after="0" w:line="202" w:lineRule="auto"/>
        <w:framePr w:w="800" w:h="134" w:wrap="auto" w:vAnchor="page" w:hAnchor="page" w:x="10080" w:y="3370"/>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Als u afsluit</w:t>
      </w:r>
    </w:p>
    <w:p>
      <w:pPr xmlns:w="http://schemas.openxmlformats.org/wordprocessingml/2006/main">
        <w:ind w:left="22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96214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82.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4015740</wp:posOffset>
                </wp:positionH>
                <wp:positionV relativeFrom="page">
                  <wp:posOffset>2096770</wp:posOffset>
                </wp:positionV>
                <wp:extent cx="2330450" cy="15875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30450" cy="158750"/>
                        </a:xfrm>
                        <a:prstGeom prst="rect">
                          <a:avLst/>
                        </a:prstGeom>
                        <a:solidFill>
                          <a:srgbClr val="DADADA"/>
                        </a:solidFill>
                      </wps:spPr>
                      <wps:bodyPr/>
                    </wps:wsp>
                  </a:graphicData>
                </a:graphic>
              </wp:anchor>
            </w:drawing>
          </mc:Choice>
          <mc:Fallback>
            <w:pict>
              <v:rect xmlns:v="urn:schemas-microsoft-com:vml" id="Shape 22" o:spid="_x0000_s1047" style="position:absolute;margin-left:316.2pt;margin-top:165.1pt;width:183.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4076700</wp:posOffset>
                </wp:positionH>
                <wp:positionV relativeFrom="page">
                  <wp:posOffset>2115185</wp:posOffset>
                </wp:positionV>
                <wp:extent cx="2206625" cy="13970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6625" cy="139700"/>
                        </a:xfrm>
                        <a:prstGeom prst="rect">
                          <a:avLst/>
                        </a:prstGeom>
                        <a:solidFill>
                          <a:srgbClr val="DADADA"/>
                        </a:solidFill>
                      </wps:spPr>
                      <wps:bodyPr/>
                    </wps:wsp>
                  </a:graphicData>
                </a:graphic>
              </wp:anchor>
            </w:drawing>
          </mc:Choice>
          <mc:Fallback>
            <w:pict>
              <v:rect xmlns:v="urn:schemas-microsoft-com:vml" id="Shape 23" o:spid="_x0000_s1048" style="position:absolute;margin-left:321pt;margin-top:166.55pt;width:173.7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6351905</wp:posOffset>
                </wp:positionH>
                <wp:positionV relativeFrom="page">
                  <wp:posOffset>2096770</wp:posOffset>
                </wp:positionV>
                <wp:extent cx="958850" cy="1587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58850" cy="158750"/>
                        </a:xfrm>
                        <a:prstGeom prst="rect">
                          <a:avLst/>
                        </a:prstGeom>
                        <a:solidFill>
                          <a:srgbClr val="DADADA"/>
                        </a:solidFill>
                      </wps:spPr>
                      <wps:bodyPr/>
                    </wps:wsp>
                  </a:graphicData>
                </a:graphic>
              </wp:anchor>
            </w:drawing>
          </mc:Choice>
          <mc:Fallback>
            <w:pict>
              <v:rect xmlns:v="urn:schemas-microsoft-com:vml" id="Shape 24" o:spid="_x0000_s1049" style="position:absolute;margin-left:500.15pt;margin-top:165.1pt;width:75.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6420485</wp:posOffset>
                </wp:positionH>
                <wp:positionV relativeFrom="page">
                  <wp:posOffset>2115185</wp:posOffset>
                </wp:positionV>
                <wp:extent cx="827405" cy="13970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7405" cy="139700"/>
                        </a:xfrm>
                        <a:prstGeom prst="rect">
                          <a:avLst/>
                        </a:prstGeom>
                        <a:solidFill>
                          <a:srgbClr val="DADADA"/>
                        </a:solidFill>
                      </wps:spPr>
                      <wps:bodyPr/>
                    </wps:wsp>
                  </a:graphicData>
                </a:graphic>
              </wp:anchor>
            </w:drawing>
          </mc:Choice>
          <mc:Fallback>
            <w:pict>
              <v:rect xmlns:v="urn:schemas-microsoft-com:vml" id="Shape 25" o:spid="_x0000_s1050" style="position:absolute;margin-left:505.55pt;margin-top:166.55pt;width:65.1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2089150</wp:posOffset>
                </wp:positionV>
                <wp:extent cx="332105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64.5pt" to="576.6pt,16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2261235</wp:posOffset>
                </wp:positionV>
                <wp:extent cx="332105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78.05pt" to="576.6pt,178.0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4001770</wp:posOffset>
                </wp:positionH>
                <wp:positionV relativeFrom="page">
                  <wp:posOffset>2432050</wp:posOffset>
                </wp:positionV>
                <wp:extent cx="332105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1pt,191.5pt" to="576.6pt,191.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6351905</wp:posOffset>
                </wp:positionH>
                <wp:positionV relativeFrom="page">
                  <wp:posOffset>2077085</wp:posOffset>
                </wp:positionV>
                <wp:extent cx="0" cy="5270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0.15pt,163.55pt" to="500.15pt,205.0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7316470</wp:posOffset>
                </wp:positionH>
                <wp:positionV relativeFrom="page">
                  <wp:posOffset>2077085</wp:posOffset>
                </wp:positionV>
                <wp:extent cx="0" cy="5270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6.1pt,163.55pt" to="576.1pt,205.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4007485</wp:posOffset>
                </wp:positionH>
                <wp:positionV relativeFrom="page">
                  <wp:posOffset>2077085</wp:posOffset>
                </wp:positionV>
                <wp:extent cx="0" cy="527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55pt,163.55pt" to="315.55pt,205.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2079625</wp:posOffset>
                </wp:positionV>
                <wp:extent cx="696214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63.75pt" to="582.6pt,16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6009005</wp:posOffset>
                </wp:positionV>
                <wp:extent cx="696214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73.15pt" to="582.6pt,473.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7549515</wp:posOffset>
                </wp:positionV>
                <wp:extent cx="696214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621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594.45pt" to="582.6pt,59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61755"/>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7395845</wp:posOffset>
                </wp:positionH>
                <wp:positionV relativeFrom="page">
                  <wp:posOffset>365125</wp:posOffset>
                </wp:positionV>
                <wp:extent cx="0" cy="8961755"/>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28.75pt" to="582.3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futures-opties liggen tussen OCC en een groep makelaarskantoren die clearingleden worden genoemd en die de posities van alle futures-optiehouders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7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Zo ja, deze persoon</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7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We zullen u informatie geven over deze kosten en hoe deze uw investering beïnvloeden.</w:t>
      </w:r>
      <w:r>
        <w:rPr xmlns:w="http://schemas.openxmlformats.org/wordprocessingml/2006/main">
          <w:rFonts w:ascii="Calibri" w:cs="Calibri" w:eastAsia="Calibri" w:hAnsi="Calibri"/>
          <w:sz w:val="22"/>
          <w:szCs w:val="22"/>
          <w:color w:val="auto"/>
        </w:rPr>
        <w:t xml:space="preserve"> Totale kosten voor</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3633470</wp:posOffset>
                </wp:positionH>
                <wp:positionV relativeFrom="paragraph">
                  <wp:posOffset>-149860</wp:posOffset>
                </wp:positionV>
                <wp:extent cx="332105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1.7999pt" to="547.6pt,-11.79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3647440</wp:posOffset>
                </wp:positionH>
                <wp:positionV relativeFrom="paragraph">
                  <wp:posOffset>17780</wp:posOffset>
                </wp:positionV>
                <wp:extent cx="3295015" cy="15811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5015" cy="158115"/>
                        </a:xfrm>
                        <a:prstGeom prst="rect">
                          <a:avLst/>
                        </a:prstGeom>
                        <a:solidFill>
                          <a:srgbClr val="DADADA"/>
                        </a:solidFill>
                      </wps:spPr>
                      <wps:bodyPr/>
                    </wps:wsp>
                  </a:graphicData>
                </a:graphic>
              </wp:anchor>
            </w:drawing>
          </mc:Choice>
          <mc:Fallback>
            <w:pict>
              <v:rect id="Shape 38" o:spid="_x0000_s1063" style="position:absolute;margin-left:287.2pt;margin-top:1.4pt;width:259.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36830</wp:posOffset>
                </wp:positionV>
                <wp:extent cx="3171190" cy="13906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39" o:spid="_x0000_s1064" style="position:absolute;margin-left:292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13970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1pt" to="547.6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181610</wp:posOffset>
                </wp:positionV>
                <wp:extent cx="332105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4.3pt" to="547.6pt,14.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354330</wp:posOffset>
                </wp:positionV>
                <wp:extent cx="332105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7.9pt" to="547.6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925830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72.9pt" to="547.6pt,72.9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4612005</wp:posOffset>
                </wp:positionH>
                <wp:positionV relativeFrom="paragraph">
                  <wp:posOffset>347980</wp:posOffset>
                </wp:positionV>
                <wp:extent cx="0" cy="101473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27.4pt" to="363.15pt,107.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1356995</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06.85pt" to="547.6pt,106.8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1647825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29.75pt" to="547.6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2218055</wp:posOffset>
                </wp:positionV>
                <wp:extent cx="332105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174.65pt" to="547.6pt,174.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4612005</wp:posOffset>
                </wp:positionH>
                <wp:positionV relativeFrom="paragraph">
                  <wp:posOffset>1642110</wp:posOffset>
                </wp:positionV>
                <wp:extent cx="0" cy="101346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129.3pt" to="363.15pt,209.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2649220</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08.6pt" to="547.6pt,208.6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2846070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24.1pt" to="547.6pt,224.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3639185</wp:posOffset>
                </wp:positionH>
                <wp:positionV relativeFrom="paragraph">
                  <wp:posOffset>11430</wp:posOffset>
                </wp:positionV>
                <wp:extent cx="0" cy="303530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55pt,0.9pt" to="286.5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6948170</wp:posOffset>
                </wp:positionH>
                <wp:positionV relativeFrom="paragraph">
                  <wp:posOffset>11430</wp:posOffset>
                </wp:positionV>
                <wp:extent cx="0" cy="303530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7.1pt,0.9pt" to="547.1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Futures zijn afhankelijk van meerdere factoren.</w:t>
      </w:r>
      <w:r>
        <w:rPr xmlns:w="http://schemas.openxmlformats.org/wordprocessingml/2006/main">
          <w:rFonts w:ascii="Calibri" w:cs="Calibri" w:eastAsia="Calibri" w:hAnsi="Calibri"/>
          <w:sz w:val="22"/>
          <w:szCs w:val="22"/>
          <w:color w:val="auto"/>
        </w:rPr>
        <w:t xml:space="preserve"> De premie van een optie is de prijs die de houder betaalt aan de schrijver.</w:t>
      </w:r>
      <w:r>
        <w:rPr xmlns:w="http://schemas.openxmlformats.org/wordprocessingml/2006/main">
          <w:rFonts w:ascii="Calibri" w:cs="Calibri" w:eastAsia="Calibri" w:hAnsi="Calibri"/>
          <w:sz w:val="22"/>
          <w:szCs w:val="22"/>
          <w:color w:val="auto"/>
        </w:rPr>
        <w:t xml:space="preserve"> Factoren die een significant effect hebben op de premie omvatten, maar zijn niet beperkt tot, de waarde van de onderliggende rente, de tijd tot het verstrijken en de uitoefenprijs.</w:t>
      </w:r>
      <w:r>
        <w:rPr xmlns:w="http://schemas.openxmlformats.org/wordprocessingml/2006/main">
          <w:rFonts w:ascii="Calibri" w:cs="Calibri" w:eastAsia="Calibri" w:hAnsi="Calibri"/>
          <w:sz w:val="22"/>
          <w:szCs w:val="22"/>
          <w:color w:val="auto"/>
        </w:rPr>
        <w:t xml:space="preserve"> Beleggingsopties omvatten extra kosten die fiscale overwegingen, transactiekosten en margevereisten omvatten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 bestaan voornamelijk uit commissies (die worden opgelegd bij de opening,</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3647440</wp:posOffset>
                </wp:positionH>
                <wp:positionV relativeFrom="paragraph">
                  <wp:posOffset>-1342390</wp:posOffset>
                </wp:positionV>
                <wp:extent cx="2330450" cy="158115"/>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158115"/>
                        </a:xfrm>
                        <a:prstGeom prst="rect">
                          <a:avLst/>
                        </a:prstGeom>
                        <a:solidFill>
                          <a:srgbClr val="DADADA"/>
                        </a:solidFill>
                      </wps:spPr>
                      <wps:bodyPr/>
                    </wps:wsp>
                  </a:graphicData>
                </a:graphic>
              </wp:anchor>
            </w:drawing>
          </mc:Choice>
          <mc:Fallback>
            <w:pict>
              <v:rect id="Shape 53" o:spid="_x0000_s1078" style="position:absolute;margin-left:287.2pt;margin-top:-105.6999pt;width:183.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-1324610</wp:posOffset>
                </wp:positionV>
                <wp:extent cx="2206625" cy="14033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6625" cy="140335"/>
                        </a:xfrm>
                        <a:prstGeom prst="rect">
                          <a:avLst/>
                        </a:prstGeom>
                        <a:solidFill>
                          <a:srgbClr val="DADADA"/>
                        </a:solidFill>
                      </wps:spPr>
                      <wps:bodyPr/>
                    </wps:wsp>
                  </a:graphicData>
                </a:graphic>
              </wp:anchor>
            </w:drawing>
          </mc:Choice>
          <mc:Fallback>
            <w:pict>
              <v:rect id="Shape 54" o:spid="_x0000_s1079" style="position:absolute;margin-left:292pt;margin-top:-104.2999pt;width:173.7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-1342390</wp:posOffset>
                </wp:positionV>
                <wp:extent cx="958850" cy="15811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58115"/>
                        </a:xfrm>
                        <a:prstGeom prst="rect">
                          <a:avLst/>
                        </a:prstGeom>
                        <a:solidFill>
                          <a:srgbClr val="DADADA"/>
                        </a:solidFill>
                      </wps:spPr>
                      <wps:bodyPr/>
                    </wps:wsp>
                  </a:graphicData>
                </a:graphic>
              </wp:anchor>
            </w:drawing>
          </mc:Choice>
          <mc:Fallback>
            <w:pict>
              <v:rect id="Shape 55" o:spid="_x0000_s1080" style="position:absolute;margin-left:471.15pt;margin-top:-105.6999pt;width:7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6052185</wp:posOffset>
                </wp:positionH>
                <wp:positionV relativeFrom="paragraph">
                  <wp:posOffset>-1324610</wp:posOffset>
                </wp:positionV>
                <wp:extent cx="827405" cy="14033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40335"/>
                        </a:xfrm>
                        <a:prstGeom prst="rect">
                          <a:avLst/>
                        </a:prstGeom>
                        <a:solidFill>
                          <a:srgbClr val="DADADA"/>
                        </a:solidFill>
                      </wps:spPr>
                      <wps:bodyPr/>
                    </wps:wsp>
                  </a:graphicData>
                </a:graphic>
              </wp:anchor>
            </w:drawing>
          </mc:Choice>
          <mc:Fallback>
            <w:pict>
              <v:rect id="Shape 56" o:spid="_x0000_s1081" style="position:absolute;margin-left:476.55pt;margin-top:-104.2999pt;width:65.1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3647440</wp:posOffset>
                </wp:positionH>
                <wp:positionV relativeFrom="paragraph">
                  <wp:posOffset>-168910</wp:posOffset>
                </wp:positionV>
                <wp:extent cx="2330450" cy="27813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278130"/>
                        </a:xfrm>
                        <a:prstGeom prst="rect">
                          <a:avLst/>
                        </a:prstGeom>
                        <a:solidFill>
                          <a:srgbClr val="DADADA"/>
                        </a:solidFill>
                      </wps:spPr>
                      <wps:bodyPr/>
                    </wps:wsp>
                  </a:graphicData>
                </a:graphic>
              </wp:anchor>
            </w:drawing>
          </mc:Choice>
          <mc:Fallback>
            <w:pict>
              <v:rect id="Shape 57" o:spid="_x0000_s1082" style="position:absolute;margin-left:287.2pt;margin-top:-13.2999pt;width:183.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3708400</wp:posOffset>
                </wp:positionH>
                <wp:positionV relativeFrom="paragraph">
                  <wp:posOffset>-21590</wp:posOffset>
                </wp:positionV>
                <wp:extent cx="2206625" cy="13017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6625" cy="130175"/>
                        </a:xfrm>
                        <a:prstGeom prst="rect">
                          <a:avLst/>
                        </a:prstGeom>
                        <a:solidFill>
                          <a:srgbClr val="DADADA"/>
                        </a:solidFill>
                      </wps:spPr>
                      <wps:bodyPr/>
                    </wps:wsp>
                  </a:graphicData>
                </a:graphic>
              </wp:anchor>
            </w:drawing>
          </mc:Choice>
          <mc:Fallback>
            <w:pict>
              <v:rect id="Shape 58" o:spid="_x0000_s1083" style="position:absolute;margin-left:292pt;margin-top:-1.6999pt;width:173.7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-168910</wp:posOffset>
                </wp:positionV>
                <wp:extent cx="958850" cy="27813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278130"/>
                        </a:xfrm>
                        <a:prstGeom prst="rect">
                          <a:avLst/>
                        </a:prstGeom>
                        <a:solidFill>
                          <a:srgbClr val="DADADA"/>
                        </a:solidFill>
                      </wps:spPr>
                      <wps:bodyPr/>
                    </wps:wsp>
                  </a:graphicData>
                </a:graphic>
              </wp:anchor>
            </w:drawing>
          </mc:Choice>
          <mc:Fallback>
            <w:pict>
              <v:rect id="Shape 59" o:spid="_x0000_s1084" style="position:absolute;margin-left:471.15pt;margin-top:-13.2999pt;width:75.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1123950</wp:posOffset>
                </wp:positionV>
                <wp:extent cx="958850" cy="18288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82880"/>
                        </a:xfrm>
                        <a:prstGeom prst="rect">
                          <a:avLst/>
                        </a:prstGeom>
                        <a:solidFill>
                          <a:srgbClr val="DADADA"/>
                        </a:solidFill>
                      </wps:spPr>
                      <wps:bodyPr/>
                    </wps:wsp>
                  </a:graphicData>
                </a:graphic>
              </wp:anchor>
            </w:drawing>
          </mc:Choice>
          <mc:Fallback>
            <w:pict>
              <v:rect id="Shape 60" o:spid="_x0000_s1085" style="position:absolute;margin-left:471.15pt;margin-top:88.5pt;width:75.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6052185</wp:posOffset>
                </wp:positionH>
                <wp:positionV relativeFrom="paragraph">
                  <wp:posOffset>1170940</wp:posOffset>
                </wp:positionV>
                <wp:extent cx="827405" cy="13589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7405" cy="135890"/>
                        </a:xfrm>
                        <a:prstGeom prst="rect">
                          <a:avLst/>
                        </a:prstGeom>
                        <a:solidFill>
                          <a:srgbClr val="DADADA"/>
                        </a:solidFill>
                      </wps:spPr>
                      <wps:bodyPr/>
                    </wps:wsp>
                  </a:graphicData>
                </a:graphic>
              </wp:anchor>
            </w:drawing>
          </mc:Choice>
          <mc:Fallback>
            <w:pict>
              <v:rect id="Shape 61" o:spid="_x0000_s1086" style="position:absolute;margin-left:476.55pt;margin-top:92.2pt;width:65.1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5983605</wp:posOffset>
                </wp:positionH>
                <wp:positionV relativeFrom="paragraph">
                  <wp:posOffset>-1356360</wp:posOffset>
                </wp:positionV>
                <wp:extent cx="0" cy="287020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1.15pt,-106.7999pt" to="471.15pt,119.2pt" o:allowincell="f" strokecolor="#000000" strokeweight="0.96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afsluitings-, uitoefenings- en cessietransacties), maar kan ook marge- en rentekosten omvatten.</w:t>
      </w:r>
      <w:r>
        <w:rPr xmlns:w="http://schemas.openxmlformats.org/wordprocessingml/2006/main">
          <w:rFonts w:ascii="Calibri" w:cs="Calibri" w:eastAsia="Calibri" w:hAnsi="Calibri"/>
          <w:sz w:val="22"/>
          <w:szCs w:val="22"/>
          <w:color w:val="auto"/>
        </w:rPr>
        <w:t xml:space="preserve"> Marge: de activa die door een schrijver bij zijn makelaarskantoor moeten worden gedeponeerd als onderpand voor de verplichting, naargelang het geval, om de onderliggende rente te kopen of te verkopen of het bedrag van de afwikkeling in contanten te betalen.</w:t>
      </w:r>
      <w:r>
        <w:rPr xmlns:w="http://schemas.openxmlformats.org/wordprocessingml/2006/main">
          <w:rFonts w:ascii="Calibri" w:cs="Calibri" w:eastAsia="Calibri" w:hAnsi="Calibri"/>
          <w:sz w:val="22"/>
          <w:szCs w:val="22"/>
          <w:color w:val="auto"/>
        </w:rPr>
        <w:t xml:space="preserve"> Als een optie wordt uitgeoefend en toegewezen, kan een schrijver extra kosten in verband met de</w:t>
      </w:r>
    </w:p>
    <w:p>
      <w:pPr>
        <w:spacing w:after="0" w:line="7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onderliggende futures contract.</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klanten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4612005</wp:posOffset>
                </wp:positionH>
                <wp:positionV relativeFrom="paragraph">
                  <wp:posOffset>-229235</wp:posOffset>
                </wp:positionV>
                <wp:extent cx="0" cy="20764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7645"/>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63.15pt,-18.0499pt" to="363.15pt,-1.6999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3633470</wp:posOffset>
                </wp:positionH>
                <wp:positionV relativeFrom="paragraph">
                  <wp:posOffset>-27940</wp:posOffset>
                </wp:positionV>
                <wp:extent cx="3321050" cy="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6.1pt,-2.1999pt" to="547.6pt,-2.1999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futures-optie uit te oefenen is een belangrijke beleggingsbeslissing voor een houder, net als de beslissing voor zowel optiehouders als schrijvers om een bestaande optiepositie te sluiten voordat de optie vervalt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futures-optiecontract(en) moeten uitoefenen of een bestaande positie moeten sluiten.</w:t>
      </w:r>
      <w:r>
        <w:rPr xmlns:w="http://schemas.openxmlformats.org/wordprocessingml/2006/main">
          <w:rFonts w:ascii="Calibri" w:cs="Calibri" w:eastAsia="Calibri" w:hAnsi="Calibri"/>
          <w:sz w:val="22"/>
          <w:szCs w:val="22"/>
          <w:color w:val="auto"/>
        </w:rPr>
        <w:t xml:space="preserve"> Beleggers die een bestaande futures-optiepositie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40"/>
        <w:spacing w:after="0" w:line="22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 de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rFonts w:ascii="Calibri" w:cs="Calibri" w:eastAsia="Calibri" w:hAnsi="Calibri"/>
          <w:sz w:val="13"/>
          <w:szCs w:val="13"/>
          <w:b w:val="1"/>
          <w:bCs w:val="1"/>
          <w:u w:val="single" w:color="auto"/>
          <w:color w:val="auto"/>
          <w:highlight w:val="lightGray"/>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FINRA-beleggersklacht</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Amerikaanse Securities and Exchange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Amerikaanse grondstoffenfutures</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Centrum</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Commissie/Bureau van</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handelscommissie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Investeerder en onderwijs</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pleitbezorging</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Telefoon: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(240) 386-HELP</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312 781 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Washington,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Telefoon: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Fax (866)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Fax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202-418-5521</w:t>
            </w:r>
          </w:p>
        </w:tc>
      </w:tr>
    </w:tbl>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696214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621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53.6pt,1.15pt" o:allowincell="f" strokecolor="#000000" strokeweight="0.48pt"/>
            </w:pict>
          </mc:Fallback>
        </mc:AlternateContent>
      </w:r>
    </w:p>
    <w:p>
      <w:pPr>
        <w:sectPr>
          <w:pgSz w:w="12240" w:h="15840" w:orient="portrait"/>
          <w:cols w:equalWidth="0" w:num="1">
            <w:col w:w="10920"/>
          </w:cols>
          <w:pgMar w:left="580" w:top="630" w:right="740" w:bottom="341" w:gutter="0" w:footer="0" w:header="0"/>
        </w:sectPr>
      </w:pPr>
    </w:p>
    <w:p>
      <w:pPr>
        <w:spacing w:after="0" w:line="19"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Alle rechten voorbehouden.</w:t>
      </w:r>
    </w:p>
    <w:sectPr>
      <w:pgSz w:w="12240" w:h="15840" w:orient="portrait"/>
      <w:cols w:equalWidth="0" w:num="1">
        <w:col w:w="10920"/>
      </w:cols>
      <w:pgMar w:left="580" w:top="630" w:right="740" w:bottom="34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1FD6A5C"/>
    <w:multiLevelType w:val="hybridMultilevel"/>
    <w:lvl w:ilvl="0">
      <w:lvlJc w:val="left"/>
      <w:lvlText w:val="·"/>
      <w:numFmt w:val="bullet"/>
      <w:start w:val="1"/>
    </w:lvl>
  </w:abstractNum>
  <w:abstractNum w:abstractNumId="1">
    <w:nsid w:val="115855CD"/>
    <w:multiLevelType w:val="hybridMultilevel"/>
    <w:lvl w:ilvl="0">
      <w:lvlJc w:val="left"/>
      <w:lvlText w:val="·"/>
      <w:numFmt w:val="bullet"/>
      <w:start w:val="1"/>
    </w:lvl>
  </w:abstractNum>
  <w:abstractNum w:abstractNumId="2">
    <w:nsid w:val="6F48A8A6"/>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2024-06-24T10:34:20Z</dcterms:created>
  <dcterms:modified xsi:type="dcterms:W3CDTF">2024-06-24T10:34:20Z</dcterms:modified>
</cp:coreProperties>
</file>