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ind w:left="3720"/>
        <w:spacing w:after="0"/>
        <w:rPr>
          <w:sz w:val="20"/>
          <w:szCs w:val="20"/>
          <w:color w:val="auto"/>
        </w:rPr>
      </w:pPr>
      <w:r>
        <w:rPr xmlns:w="http://schemas.openxmlformats.org/wordprocessingml/2006/main">
          <w:rFonts w:ascii="Arial" w:cs="Arial" w:eastAsia="Arial" w:hAnsi="Arial"/>
          <w:sz w:val="20"/>
          <w:szCs w:val="20"/>
          <w:color w:val="auto"/>
        </w:rPr>
        <w:drawing xmlns:w="http://schemas.openxmlformats.org/wordprocessingml/2006/main">
          <wp:anchor xmlns:wp="http://schemas.openxmlformats.org/drawingml/2006/wordprocessingDrawing" simplePos="0" relativeHeight="251657728" behindDoc="1" locked="0" layoutInCell="0" allowOverlap="1">
            <wp:simplePos x="0" y="0"/>
            <wp:positionH relativeFrom="page">
              <wp:posOffset>396240</wp:posOffset>
            </wp:positionH>
            <wp:positionV relativeFrom="page">
              <wp:posOffset>360045</wp:posOffset>
            </wp:positionV>
            <wp:extent cx="1419225" cy="4762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419225" cy="476250"/>
                    </a:xfrm>
                    <a:prstGeom prst="rect">
                      <a:avLst/>
                    </a:prstGeom>
                    <a:noFill/>
                  </pic:spPr>
                </pic:pic>
              </a:graphicData>
            </a:graphic>
          </wp:anchor>
        </w:drawing>
      </w:r>
      <w:r>
        <w:rPr xmlns:w="http://schemas.openxmlformats.org/wordprocessingml/2006/main">
          <w:rFonts w:ascii="Arial" w:cs="Arial" w:eastAsia="Arial" w:hAnsi="Arial"/>
          <w:sz w:val="20"/>
          <w:szCs w:val="20"/>
          <w:color w:val="auto"/>
        </w:rPr>
        <w:t xml:space="preserve">ΒΑΣΙΚΕΣ ΠΛΗΡΟΦΟΡΙΕΣ ΓΙΑ ΤΟΥΣ ΕΠΕΝΔΥΤΕΣ</w:t>
      </w:r>
    </w:p>
    <w:p>
      <w:pPr>
        <w:spacing w:after="0" w:line="67" w:lineRule="exact"/>
        <w:rPr>
          <w:sz w:val="24"/>
          <w:szCs w:val="24"/>
          <w:color w:val="auto"/>
        </w:rPr>
      </w:pPr>
    </w:p>
    <w:p>
      <w:pPr xmlns:w="http://schemas.openxmlformats.org/wordprocessingml/2006/main">
        <w:ind w:left="3720" w:right="100"/>
        <w:spacing w:after="0" w:line="315" w:lineRule="auto"/>
        <w:rPr>
          <w:sz w:val="20"/>
          <w:szCs w:val="20"/>
          <w:color w:val="auto"/>
        </w:rPr>
      </w:pPr>
      <w:r>
        <w:rPr xmlns:w="http://schemas.openxmlformats.org/wordprocessingml/2006/main">
          <w:rFonts w:ascii="Arial" w:cs="Arial" w:eastAsia="Arial" w:hAnsi="Arial"/>
          <w:sz w:val="15"/>
          <w:szCs w:val="15"/>
          <w:color w:val="auto"/>
        </w:rPr>
        <w:t xml:space="preserve">Αυτό το έγγραφο σας παρέχει βασικές πληροφορίες για τους επενδυτές σχετικά με αυτό το Ταμείο.</w:t>
      </w:r>
      <w:r>
        <w:rPr xmlns:w="http://schemas.openxmlformats.org/wordprocessingml/2006/main">
          <w:rFonts w:ascii="Arial" w:cs="Arial" w:eastAsia="Arial" w:hAnsi="Arial"/>
          <w:sz w:val="15"/>
          <w:szCs w:val="15"/>
          <w:color w:val="auto"/>
        </w:rPr>
        <w:t xml:space="preserve"> Δεν είναι υλικό μάρκετινγκ.</w:t>
      </w:r>
      <w:r>
        <w:rPr xmlns:w="http://schemas.openxmlformats.org/wordprocessingml/2006/main">
          <w:rFonts w:ascii="Arial" w:cs="Arial" w:eastAsia="Arial" w:hAnsi="Arial"/>
          <w:sz w:val="15"/>
          <w:szCs w:val="15"/>
          <w:color w:val="auto"/>
        </w:rPr>
        <w:t xml:space="preserve"> Οι πληροφορίες απαιτούνται από το νόμο για να σας βοηθήσουν να κατανοήσετε τη φύση και τους κινδύνους της επένδυσης σε αυτό το Ταμείο.</w:t>
      </w:r>
      <w:r>
        <w:rPr xmlns:w="http://schemas.openxmlformats.org/wordprocessingml/2006/main">
          <w:rFonts w:ascii="Arial" w:cs="Arial" w:eastAsia="Arial" w:hAnsi="Arial"/>
          <w:sz w:val="15"/>
          <w:szCs w:val="15"/>
          <w:color w:val="auto"/>
        </w:rPr>
        <w:t xml:space="preserve"> Σας συμβουλεύουμε να το διαβάσετε, ώστε να μπορείτε να πάρετε μια τεκμηριωμένη απόφαση για το αν θα επενδύσετε.</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-24765</wp:posOffset>
            </wp:positionV>
            <wp:extent cx="6767830" cy="639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6767830" cy="639445"/>
                    </a:xfrm>
                    <a:prstGeom prst="rect">
                      <a:avLst/>
                    </a:prstGeom>
                    <a:noFill/>
                  </pic:spPr>
                </pic:pic>
              </a:graphicData>
            </a:graphic>
          </wp:anchor>
        </w:drawing>
      </w:r>
    </w:p>
    <w:p>
      <w:pPr>
        <w:spacing w:after="0" w:line="42" w:lineRule="exact"/>
        <w:rPr>
          <w:sz w:val="24"/>
          <w:szCs w:val="24"/>
          <w:color w:val="auto"/>
        </w:rPr>
      </w:pPr>
    </w:p>
    <w:tbl>
      <w:tblPr>
        <w:tblLayout w:type="fixed"/>
        <w:tblInd w:w="60" w:type="dxa"/>
        <w:tblCellMar>
          <w:top w:w="0" w:type="dxa"/>
          <w:left w:w="0" w:type="dxa"/>
          <w:bottom w:w="0" w:type="dxa"/>
          <w:right w:w="0" w:type="dxa"/>
        </w:tblCellMar>
      </w:tblPr>
      <w:tr>
        <w:trPr>
          <w:trHeight w:val="345"/>
        </w:trPr>
        <w:tc>
          <w:tcPr>
            <w:tcW w:w="45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28"/>
                <w:szCs w:val="28"/>
                <w:color w:val="FFFFFF"/>
              </w:rPr>
              <w:t xml:space="preserve">Μετοχές Ψηφιοποίηση ΟΣΕΚΑ ETF</w:t>
            </w:r>
          </w:p>
        </w:tc>
        <w:tc>
          <w:tcPr>
            <w:tcW w:w="2840" w:type="dxa"/>
            <w:vAlign w:val="bottom"/>
          </w:tcPr>
          <w:p>
            <w:pPr xmlns:w="http://schemas.openxmlformats.org/wordprocessingml/2006/main">
              <w:ind w:left="780"/>
              <w:spacing w:after="0"/>
              <w:rPr>
                <w:sz w:val="20"/>
                <w:szCs w:val="20"/>
                <w:color w:val="auto"/>
              </w:rPr>
            </w:pPr>
            <w:r>
              <w:rPr xmlns:w="http://schemas.openxmlformats.org/wordprocessingml/2006/main">
                <w:rFonts w:ascii="Arial" w:cs="Arial" w:eastAsia="Arial" w:hAnsi="Arial"/>
                <w:sz w:val="22"/>
                <w:szCs w:val="22"/>
                <w:color w:val="auto"/>
                <w:w w:val="88"/>
              </w:rPr>
              <w:t xml:space="preserve">Κλάση Μετοχών USD (Acc)</w:t>
            </w:r>
          </w:p>
        </w:tc>
        <w:tc>
          <w:tcPr>
            <w:tcW w:w="2140" w:type="dxa"/>
            <w:vAlign w:val="bottom"/>
            <w:vMerge w:val="restart"/>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8"/>
                <w:szCs w:val="18"/>
                <w:color w:val="auto"/>
                <w:w w:val="86"/>
              </w:rPr>
              <w:t xml:space="preserve">Διαπραγματεύσιμο Ταμείο Συναλλάγματος (ETF)</w:t>
            </w:r>
          </w:p>
        </w:tc>
        <w:tc>
          <w:tcPr>
            <w:tcW w:w="0" w:type="dxa"/>
            <w:vAlign w:val="bottom"/>
          </w:tcPr>
          <w:p>
            <w:pPr>
              <w:spacing w:after="0"/>
              <w:rPr>
                <w:sz w:val="1"/>
                <w:szCs w:val="1"/>
                <w:color w:val="auto"/>
              </w:rPr>
            </w:pPr>
          </w:p>
        </w:tc>
      </w:tr>
      <w:tr>
        <w:trPr>
          <w:trHeight w:val="242"/>
        </w:trPr>
        <w:tc>
          <w:tcPr>
            <w:tcW w:w="4560" w:type="dxa"/>
            <w:vAlign w:val="bottom"/>
            <w:vMerge w:val="restart"/>
          </w:tcPr>
          <w:p>
            <w:pPr xmlns:w="http://schemas.openxmlformats.org/wordprocessingml/2006/main">
              <w:spacing w:after="0"/>
              <w:rPr>
                <w:sz w:val="20"/>
                <w:szCs w:val="20"/>
                <w:color w:val="auto"/>
              </w:rPr>
            </w:pPr>
            <w:r>
              <w:rPr xmlns:w="http://schemas.openxmlformats.org/wordprocessingml/2006/main">
                <w:rFonts w:ascii="Arial" w:cs="Arial" w:eastAsia="Arial" w:hAnsi="Arial"/>
                <w:sz w:val="20"/>
                <w:szCs w:val="20"/>
                <w:color w:val="FFFFFF"/>
              </w:rPr>
              <w:t xml:space="preserve">Ένα επιμέρους κεφάλαιο της iShares IV plc</w:t>
            </w:r>
          </w:p>
        </w:tc>
        <w:tc>
          <w:tcPr>
            <w:tcW w:w="2840" w:type="dxa"/>
            <w:vAlign w:val="bottom"/>
          </w:tcPr>
          <w:p>
            <w:pPr xmlns:w="http://schemas.openxmlformats.org/wordprocessingml/2006/main">
              <w:ind w:left="780"/>
              <w:spacing w:after="0"/>
              <w:rPr>
                <w:sz w:val="20"/>
                <w:szCs w:val="20"/>
                <w:color w:val="auto"/>
              </w:rPr>
            </w:pPr>
            <w:r>
              <w:rPr xmlns:w="http://schemas.openxmlformats.org/wordprocessingml/2006/main">
                <w:rFonts w:ascii="Arial" w:cs="Arial" w:eastAsia="Arial" w:hAnsi="Arial"/>
                <w:sz w:val="18"/>
                <w:szCs w:val="18"/>
                <w:color w:val="auto"/>
              </w:rPr>
              <w:t xml:space="preserve">ISIN:</w:t>
            </w:r>
            <w:r>
              <w:rPr xmlns:w="http://schemas.openxmlformats.org/wordprocessingml/2006/main">
                <w:rFonts w:ascii="Arial" w:cs="Arial" w:eastAsia="Arial" w:hAnsi="Arial"/>
                <w:sz w:val="18"/>
                <w:szCs w:val="18"/>
                <w:color w:val="auto"/>
              </w:rPr>
              <w:t xml:space="preserve"> IE00BYZK4883</w:t>
            </w:r>
          </w:p>
        </w:tc>
        <w:tc>
          <w:tcPr>
            <w:tcW w:w="2140" w:type="dxa"/>
            <w:vAlign w:val="bottom"/>
            <w:vMerge w:val="continue"/>
          </w:tcPr>
          <w:p>
            <w:pPr>
              <w:spacing w:after="0"/>
              <w:rPr>
                <w:sz w:val="21"/>
                <w:szCs w:val="21"/>
                <w:color w:val="auto"/>
              </w:rPr>
            </w:pPr>
          </w:p>
        </w:tc>
        <w:tc>
          <w:tcPr>
            <w:tcW w:w="0" w:type="dxa"/>
            <w:vAlign w:val="bottom"/>
          </w:tcPr>
          <w:p>
            <w:pPr>
              <w:spacing w:after="0"/>
              <w:rPr>
                <w:sz w:val="1"/>
                <w:szCs w:val="1"/>
                <w:color w:val="auto"/>
              </w:rPr>
            </w:pPr>
          </w:p>
        </w:tc>
      </w:tr>
      <w:tr>
        <w:trPr>
          <w:trHeight w:val="104"/>
        </w:trPr>
        <w:tc>
          <w:tcPr>
            <w:tcW w:w="4560" w:type="dxa"/>
            <w:vAlign w:val="bottom"/>
            <w:vMerge w:val="continue"/>
          </w:tcPr>
          <w:p>
            <w:pPr>
              <w:spacing w:after="0"/>
              <w:rPr>
                <w:sz w:val="9"/>
                <w:szCs w:val="9"/>
                <w:color w:val="auto"/>
              </w:rPr>
            </w:pPr>
          </w:p>
        </w:tc>
        <w:tc>
          <w:tcPr>
            <w:tcW w:w="2840" w:type="dxa"/>
            <w:vAlign w:val="bottom"/>
          </w:tcPr>
          <w:p>
            <w:pPr>
              <w:spacing w:after="0"/>
              <w:rPr>
                <w:sz w:val="9"/>
                <w:szCs w:val="9"/>
                <w:color w:val="auto"/>
              </w:rPr>
            </w:pPr>
          </w:p>
        </w:tc>
        <w:tc>
          <w:tcPr>
            <w:tcW w:w="2140" w:type="dxa"/>
            <w:vAlign w:val="bottom"/>
          </w:tcPr>
          <w:p>
            <w:pPr>
              <w:spacing w:after="0"/>
              <w:rPr>
                <w:sz w:val="9"/>
                <w:szCs w:val="9"/>
                <w:color w:val="auto"/>
              </w:rPr>
            </w:pPr>
          </w:p>
        </w:tc>
        <w:tc>
          <w:tcPr>
            <w:tcW w:w="0" w:type="dxa"/>
            <w:vAlign w:val="bottom"/>
          </w:tcPr>
          <w:p>
            <w:pPr>
              <w:spacing w:after="0"/>
              <w:rPr>
                <w:sz w:val="1"/>
                <w:szCs w:val="1"/>
                <w:color w:val="auto"/>
              </w:rPr>
            </w:pPr>
          </w:p>
        </w:tc>
      </w:tr>
    </w:tbl>
    <w:p>
      <w:pPr xmlns:w="http://schemas.openxmlformats.org/wordprocessingml/2006/main">
        <w:ind w:left="5400"/>
        <w:spacing w:after="0" w:line="215" w:lineRule="auto"/>
        <w:rPr>
          <w:sz w:val="20"/>
          <w:szCs w:val="20"/>
          <w:color w:val="auto"/>
        </w:rPr>
      </w:pPr>
      <w:r>
        <w:rPr xmlns:w="http://schemas.openxmlformats.org/wordprocessingml/2006/main">
          <w:rFonts w:ascii="Arial" w:cs="Arial" w:eastAsia="Arial" w:hAnsi="Arial"/>
          <w:sz w:val="18"/>
          <w:szCs w:val="18"/>
          <w:color w:val="auto"/>
        </w:rPr>
        <w:t xml:space="preserve">Διαχειριστής:</w:t>
      </w:r>
      <w:r>
        <w:rPr xmlns:w="http://schemas.openxmlformats.org/wordprocessingml/2006/main">
          <w:rFonts w:ascii="Arial" w:cs="Arial" w:eastAsia="Arial" w:hAnsi="Arial"/>
          <w:sz w:val="18"/>
          <w:szCs w:val="18"/>
          <w:color w:val="auto"/>
        </w:rPr>
        <w:t xml:space="preserve"> BlackRock Asset Management Ireland Limited</w:t>
      </w:r>
    </w:p>
    <w:p>
      <w:pPr>
        <w:spacing w:after="0" w:line="7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Στόχοι και επενδυτική πολιτική</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22860</wp:posOffset>
            </wp:positionV>
            <wp:extent cx="6767830" cy="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74" w:lineRule="exact"/>
        <w:rPr>
          <w:sz w:val="24"/>
          <w:szCs w:val="24"/>
          <w:color w:val="auto"/>
        </w:rPr>
      </w:pPr>
    </w:p>
    <w:p>
      <w:pPr xmlns:w="http://schemas.openxmlformats.org/wordprocessingml/2006/main">
        <w:ind w:left="140" w:right="38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Η κατηγορία μετοχών είναι μια κατηγορία μετοχών ενός Ταμείου που στοχεύει στην επίτευξη απόδοσης της επένδυσής σας, μέσω ενός συνδυασμού αύξησης κεφαλαίου και εισοδήματος επί των περιουσιακών στοιχείων του Ταμείου, που αντικατοπτρίζει την απόδοση του δείκτη αναφοράς του STOXX Global Digitalisation Index (δείκτης αναφοράς) του Ταμείου.</w:t>
      </w:r>
    </w:p>
    <w:p>
      <w:pPr>
        <w:spacing w:after="0" w:line="28" w:lineRule="exact"/>
        <w:rPr>
          <w:sz w:val="24"/>
          <w:szCs w:val="24"/>
          <w:color w:val="auto"/>
        </w:rPr>
      </w:pPr>
    </w:p>
    <w:p>
      <w:pPr xmlns:w="http://schemas.openxmlformats.org/wordprocessingml/2006/main">
        <w:ind w:left="20" w:right="40"/>
        <w:spacing w:after="0" w:line="345" w:lineRule="auto"/>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4"/>
          <w:szCs w:val="14"/>
          <w:color w:val="auto"/>
        </w:rPr>
        <w:t xml:space="preserve"> Η Κατηγορία Μετοχών, μέσω του Ταμείου, τελεί υπό παθητική διαχείριση και αποσκοπεί στην επένδυση σε μετοχικούς τίτλους (π.χ. μετοχές) που, στο μέτρο του δυνατού και του εφικτού, αποτελούν τον Δείκτη.</w:t>
      </w:r>
      <w:r>
        <w:rPr xmlns:w="http://schemas.openxmlformats.org/wordprocessingml/2006/main">
          <w:rFonts w:ascii="Arial" w:cs="Arial" w:eastAsia="Arial" w:hAnsi="Arial"/>
          <w:sz w:val="14"/>
          <w:szCs w:val="14"/>
          <w:color w:val="auto"/>
        </w:rPr>
        <w:t xml:space="preserve"> </w:t>
      </w:r>
      <w:r xmlns:w="http://schemas.openxmlformats.org/wordprocessingml/2006/main">
        <w:rPr>
          <w:sz w:val="1"/>
          <w:szCs w:val="1"/>
          <w:color w:val="auto"/>
        </w:rPr>
        <w:drawing>
          <wp:inline xmlns:wp="http://schemas.openxmlformats.org/drawingml/2006/wordprocessingDrawing" distT="0" distB="0" distL="0" distR="0">
            <wp:extent cx="45720" cy="774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4"/>
          <w:szCs w:val="14"/>
          <w:color w:val="auto"/>
        </w:rPr>
        <w:t xml:space="preserve"> Ο δείκτης αντικατοπτρίζει την απόδοση ενός υποσυνόλου παγκόσμιων τίτλων μετοχικού κεφαλαίου στο πλαίσιο του παγκόσμιου δείκτη αγοράς STOXX («μητρικός δείκτης»), οι οποίοι αποκομίζουν σημαντικά έσοδα από τον κλάδο της ψηφιοποίησης, όπως η κυβερνοασφάλεια, η υπολογιστική νέφους και η χρηματοπιστωτική τεχνολογία.</w:t>
      </w:r>
      <w:r>
        <w:rPr xmlns:w="http://schemas.openxmlformats.org/wordprocessingml/2006/main">
          <w:rFonts w:ascii="Arial" w:cs="Arial" w:eastAsia="Arial" w:hAnsi="Arial"/>
          <w:sz w:val="14"/>
          <w:szCs w:val="14"/>
          <w:color w:val="auto"/>
        </w:rPr>
        <w:t xml:space="preserve"> Οι εταιρείες που περιλαμβάνονται στον δείκτη πρέπει να παράγουν τουλάχιστον 50</w:t>
      </w:r>
    </w:p>
    <w:p>
      <w:pPr>
        <w:spacing w:after="0" w:line="2" w:lineRule="exact"/>
        <w:rPr>
          <w:sz w:val="24"/>
          <w:szCs w:val="24"/>
          <w:color w:val="auto"/>
        </w:rPr>
      </w:pPr>
    </w:p>
    <w:p>
      <w:pPr xmlns:w="http://schemas.openxmlformats.org/wordprocessingml/2006/main">
        <w:ind w:left="140" w:right="80" w:firstLine="8"/>
        <w:spacing w:after="0" w:line="404" w:lineRule="auto"/>
        <w:tabs>
          <w:tab w:leader="none" w:pos="264" w:val="left"/>
        </w:tabs>
        <w:numPr>
          <w:ilvl w:val="0"/>
          <w:numId w:val="1"/>
        </w:numPr>
        <w:rPr>
          <w:rFonts w:ascii="Arial" w:cs="Arial" w:eastAsia="Arial" w:hAnsi="Arial"/>
          <w:sz w:val="13"/>
          <w:szCs w:val="13"/>
          <w:color w:val="auto"/>
        </w:rPr>
      </w:pPr>
      <w:r>
        <w:rPr xmlns:w="http://schemas.openxmlformats.org/wordprocessingml/2006/main">
          <w:rFonts w:ascii="Arial" w:cs="Arial" w:eastAsia="Arial" w:hAnsi="Arial"/>
          <w:sz w:val="13"/>
          <w:szCs w:val="13"/>
          <w:color w:val="auto"/>
        </w:rPr>
        <w:t xml:space="preserve">(45% για υφιστάμενες εταιρείες στον δείκτη) των ετήσιων εσόδων τους από τομείς που συνδέονται με το θέμα της ψηφιοποίησης.</w:t>
      </w:r>
      <w:r>
        <w:rPr xmlns:w="http://schemas.openxmlformats.org/wordprocessingml/2006/main">
          <w:rFonts w:ascii="Arial" w:cs="Arial" w:eastAsia="Arial" w:hAnsi="Arial"/>
          <w:sz w:val="13"/>
          <w:szCs w:val="13"/>
          <w:color w:val="auto"/>
        </w:rPr>
        <w:t xml:space="preserve"> Επιπλέον, ο δείκτης αποσκοπεί να έχει ελάχιστο αριθμό 80 στοιχείων σε κάθε αναπροσαρμογή του δείκτη, ωστόσο, αν η εφαρμογή του φίλτρου εσόδων έχει ως αποτέλεσμα να υπάρχουν λιγότερα από 80 στοιχεία στον δείκτη, μειώνεται σταδιακά σύμφωνα με τη μεθοδολογία του παρόχου του δείκτη, έως ότου ο αριθμός των στοιχείων είναι ίσος ή μεγαλύτερος από 80. Οι εταιρείες του δείκτη πρέπει επίσης να πληρούν τα κριτήρια του παρόχου του δείκτη για την κεφαλαιοποίηση της αγοράς και τον όγκο συναλλαγών και να έχουν την κατοικία τους σε επιλέξιμη χώρα, η οποία επίσης καθορίζεται από τον πάροχο του δείκτη.</w:t>
      </w:r>
    </w:p>
    <w:p>
      <w:pPr>
        <w:spacing w:after="0" w:line="153"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 Δείκτης εξαιρεί εταιρείες από τον Μητρικό Δείκτη οι οποίες προσδιορίζονται από τον πάροχο του δείκτη ως εμπλεκόμενες σε ορισμένους επιχειρηματικούς τομείς/δραστηριότητες, όπως περιγράφεται στην περιγραφή του Δείκτη του Ταμείου στο Ενημερωτικό Δελτίο του Ταμείου.</w:t>
      </w:r>
    </w:p>
    <w:p>
      <w:pPr>
        <w:spacing w:after="0" w:line="2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Η επένδυση του Ταμείου σε τίτλους που αποτελούν τον δείκτη θα συμμορφώνεται, κατά τον χρόνο αγοράς, με τις πιστωτικές απαιτήσεις ή τις απαιτήσεις ΠΚΔ του δείκτη.</w:t>
      </w:r>
      <w:r>
        <w:rPr xmlns:w="http://schemas.openxmlformats.org/wordprocessingml/2006/main">
          <w:rFonts w:ascii="Arial" w:cs="Arial" w:eastAsia="Arial" w:hAnsi="Arial"/>
          <w:sz w:val="16"/>
          <w:szCs w:val="16"/>
          <w:color w:val="auto"/>
        </w:rPr>
        <w:t xml:space="preserve"> Όταν οι τίτλοι δεν πληρούν πλέον τις εν λόγω απαιτήσεις, το Ταμείο μπορεί να συνεχίσει να τους κατέχει έως ότου παύσουν να αποτελούν μέρος του δείκτη και είναι πρακτικά δυνατό να τους πωλήσει.</w:t>
      </w:r>
    </w:p>
    <w:p>
      <w:pPr>
        <w:spacing w:after="0" w:line="28" w:lineRule="exact"/>
        <w:rPr>
          <w:sz w:val="24"/>
          <w:szCs w:val="24"/>
          <w:color w:val="auto"/>
        </w:rPr>
      </w:pPr>
    </w:p>
    <w:p>
      <w:pPr xmlns:w="http://schemas.openxmlformats.org/wordprocessingml/2006/main">
        <w:ind w:left="140" w:right="2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θα λαμβάνει υπόψη αυτά τα κριτήρια ΠΚΔ μόνο κατά την επιλογή των τίτλων που θα κατέχει απευθείας το Ταμείο.</w:t>
      </w:r>
      <w:r>
        <w:rPr xmlns:w="http://schemas.openxmlformats.org/wordprocessingml/2006/main">
          <w:rFonts w:ascii="Arial" w:cs="Arial" w:eastAsia="Arial" w:hAnsi="Arial"/>
          <w:sz w:val="16"/>
          <w:szCs w:val="16"/>
          <w:color w:val="auto"/>
        </w:rPr>
        <w:t xml:space="preserve"> Το Ταμείο μπορεί να εξασφαλίσει έμμεση έκθεση (για παράδειγμα, μέσω παράγωγων χρηματοπιστωτικών μέσων («ΑΞΕ») (δηλαδή επενδύσεις οι τιμές των οποίων βασίζονται σε ένα ή περισσότερα υποκείμενα περιουσιακά στοιχεία) και μερίδια σε οργανισμούς συλλογικών επενδύσεων) σε τίτλους που θεωρείται ότι δεν πληρούν τα εν λόγω κριτήρια ΠΚΔ.</w:t>
      </w:r>
      <w:r>
        <w:rPr xmlns:w="http://schemas.openxmlformats.org/wordprocessingml/2006/main">
          <w:rFonts w:ascii="Arial" w:cs="Arial" w:eastAsia="Arial" w:hAnsi="Arial"/>
          <w:sz w:val="16"/>
          <w:szCs w:val="16"/>
          <w:color w:val="auto"/>
        </w:rPr>
        <w:t xml:space="preserve"> Ο Δείκτης μπορεί να περιλαμβάνει μικρά, μεσαία και/ή μεγάλα συστατικά κεφαλαιοποίησης του Μητρικού Δείκτη τόσο από τις ανεπτυγμένες όσο και από τις αναδυόμενες χώρες της αγοράς παγκοσμίως.</w:t>
      </w:r>
      <w:r>
        <w:rPr xmlns:w="http://schemas.openxmlformats.org/wordprocessingml/2006/main">
          <w:rFonts w:ascii="Arial" w:cs="Arial" w:eastAsia="Arial" w:hAnsi="Arial"/>
          <w:sz w:val="16"/>
          <w:szCs w:val="16"/>
          <w:color w:val="auto"/>
        </w:rPr>
        <w:t xml:space="preserve"> Κάθε συστατικό στοιχείο του δείκτη ρυθμίζεται εξίσου σταθμισμένα σε κάθε αναπροσαρμογή του δείκτη.</w:t>
      </w:r>
    </w:p>
    <w:p>
      <w:pPr>
        <w:spacing w:after="0" w:line="28" w:lineRule="exact"/>
        <w:rPr>
          <w:sz w:val="24"/>
          <w:szCs w:val="24"/>
          <w:color w:val="auto"/>
        </w:rPr>
      </w:pPr>
    </w:p>
    <w:p>
      <w:pPr xmlns:w="http://schemas.openxmlformats.org/wordprocessingml/2006/main">
        <w:ind w:left="140" w:right="4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Το Ταμείο χρησιμοποιεί τεχνικές βελτιστοποίησης για να επιτύχει παρόμοια απόδοση με το δείκτη του.</w:t>
      </w:r>
      <w:r>
        <w:rPr xmlns:w="http://schemas.openxmlformats.org/wordprocessingml/2006/main">
          <w:rFonts w:ascii="Arial" w:cs="Arial" w:eastAsia="Arial" w:hAnsi="Arial"/>
          <w:sz w:val="16"/>
          <w:szCs w:val="16"/>
          <w:color w:val="auto"/>
        </w:rPr>
        <w:t xml:space="preserve"> Οι τεχνικές αυτές μπορούν να περιλαμβάνουν τη στρατηγική επιλογή ορισμένων τίτλων που αποτελούν τον Δείκτη ή άλλων τίτλων που παρέχουν παρόμοιες επιδόσεις με ορισμένες συστατικές κινητές αξίες.</w:t>
      </w:r>
      <w:r>
        <w:rPr xmlns:w="http://schemas.openxmlformats.org/wordprocessingml/2006/main">
          <w:rFonts w:ascii="Arial" w:cs="Arial" w:eastAsia="Arial" w:hAnsi="Arial"/>
          <w:sz w:val="16"/>
          <w:szCs w:val="16"/>
          <w:color w:val="auto"/>
        </w:rPr>
        <w:t xml:space="preserve"> Οι πράξεις αυτές μπορούν να περιλαμβάνουν και τη χρήση ΑΞΕ, που μπορούν να χρησιμοποιηθούν για σκοπούς άμεσων επενδύσεων.</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5"/>
          <w:szCs w:val="15"/>
          <w:color w:val="auto"/>
        </w:rPr>
        <w:t xml:space="preserve"> Σύσταση:</w:t>
      </w:r>
      <w:r>
        <w:rPr xmlns:w="http://schemas.openxmlformats.org/wordprocessingml/2006/main">
          <w:rFonts w:ascii="Arial" w:cs="Arial" w:eastAsia="Arial" w:hAnsi="Arial"/>
          <w:sz w:val="15"/>
          <w:szCs w:val="15"/>
          <w:color w:val="auto"/>
        </w:rPr>
        <w:t xml:space="preserve"> Το Ταμείο αυτό είναι κατάλληλο για μεσομακροπρόθεσμες επενδύσεις, αν και το Ταμείο μπορεί επίσης να είναι κατάλληλο για βραχυπρόθεσμη έκθεση στον Δείκτη.</w:t>
      </w:r>
    </w:p>
    <w:p>
      <w:pPr>
        <w:spacing w:after="0" w:line="59"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Οι μετοχές σας θα συσσωρεύονται μετοχές (δηλαδή το εισόδημα θα περιλαμβάνεται στην αξία τους).</w:t>
      </w:r>
    </w:p>
    <w:p>
      <w:pPr>
        <w:spacing w:after="0" w:line="4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Οι μετοχές σας θα είναι εκφρασμένες σε Δολάριο ΗΠΑ, το βασικό νόμισμα του Ταμείου.</w:t>
      </w:r>
    </w:p>
    <w:p>
      <w:pPr>
        <w:spacing w:after="0" w:line="48" w:lineRule="exact"/>
        <w:rPr>
          <w:sz w:val="24"/>
          <w:szCs w:val="24"/>
          <w:color w:val="auto"/>
        </w:rPr>
      </w:pPr>
    </w:p>
    <w:p>
      <w:pPr xmlns:w="http://schemas.openxmlformats.org/wordprocessingml/2006/main">
        <w:ind w:left="140" w:right="60" w:hanging="134"/>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45720" cy="774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45720" cy="77470"/>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auto"/>
        </w:rPr>
        <w:t xml:space="preserve"> Οι μετοχές είναι εισηγμένες σε ένα ή περισσότερα χρηματιστήρια και μπορούν να αποτελούν αντικείμενο διαπραγμάτευσης σε νομίσματα διαφορετικά από το βασικό τους νόμισμα.</w:t>
      </w:r>
      <w:r>
        <w:rPr xmlns:w="http://schemas.openxmlformats.org/wordprocessingml/2006/main">
          <w:rFonts w:ascii="Arial" w:cs="Arial" w:eastAsia="Arial" w:hAnsi="Arial"/>
          <w:sz w:val="16"/>
          <w:szCs w:val="16"/>
          <w:color w:val="auto"/>
        </w:rPr>
        <w:t xml:space="preserve"> Η απόδοση των μετοχών σας μπορεί να επηρεαστεί από αυτήν τη διαφορά νομίσματος.</w:t>
      </w:r>
      <w:r>
        <w:rPr xmlns:w="http://schemas.openxmlformats.org/wordprocessingml/2006/main">
          <w:rFonts w:ascii="Arial" w:cs="Arial" w:eastAsia="Arial" w:hAnsi="Arial"/>
          <w:sz w:val="16"/>
          <w:szCs w:val="16"/>
          <w:color w:val="auto"/>
        </w:rPr>
        <w:t xml:space="preserve"> Υπό κανονικές συνθήκες, μόνο εξουσιοδοτημένοι συμμετέχοντες (π.χ. επιλεγμένα χρηματοπιστωτικά ιδρύματα) μπορούν να διαπραγματεύονται μετοχές (ή συμμετοχές σε μετοχές) απευθείας με το Ταμείο.</w:t>
      </w:r>
      <w:r>
        <w:rPr xmlns:w="http://schemas.openxmlformats.org/wordprocessingml/2006/main">
          <w:rFonts w:ascii="Arial" w:cs="Arial" w:eastAsia="Arial" w:hAnsi="Arial"/>
          <w:sz w:val="16"/>
          <w:szCs w:val="16"/>
          <w:color w:val="auto"/>
        </w:rPr>
        <w:t xml:space="preserve"> Οι λοιποί επενδυτές μπορούν να διαπραγματεύονται μετοχές (ή μερίδια σε μετοχές) καθημερινά μέσω ενδιάμεσου φορέα στο χρηματιστήριο ή στα χρηματιστήρια όπου οι μετοχές αποτελούν αντικείμενο διαπραγμάτευσης.</w:t>
      </w:r>
      <w:r>
        <w:rPr xmlns:w="http://schemas.openxmlformats.org/wordprocessingml/2006/main">
          <w:rFonts w:ascii="Arial" w:cs="Arial" w:eastAsia="Arial" w:hAnsi="Arial"/>
          <w:sz w:val="16"/>
          <w:szCs w:val="16"/>
          <w:color w:val="auto"/>
        </w:rPr>
        <w:t xml:space="preserve"> Η ενδεικτική καθαρή αξία ενεργητικού δημοσιεύεται στους δικτυακούς τόπους των σχετικών χρηματιστηρίων.</w:t>
      </w:r>
    </w:p>
    <w:p>
      <w:pPr>
        <w:spacing w:after="0" w:line="28"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5"/>
          <w:szCs w:val="15"/>
          <w:color w:val="auto"/>
        </w:rPr>
        <w:t xml:space="preserve">Για περισσότερες πληροφορίες σχετικά με το Ταμείο, την κατηγορία μετοχών, τους κινδύνους και τις επιβαρύνσεις, ανατρέξτε στο ενημερωτικό δελτίο του Ταμείου, το οποίο είναι διαθέσιμο στις σελίδες προϊόντων στη διεύθυνση www.blackrock.com</w:t>
      </w:r>
    </w:p>
    <w:p>
      <w:pPr>
        <w:spacing w:after="0" w:line="8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6"/>
          <w:szCs w:val="26"/>
          <w:color w:val="auto"/>
        </w:rPr>
        <w:t xml:space="preserve">Προφίλ κινδύνου και ανταμοιβής</w:t>
      </w:r>
    </w:p>
    <w:p>
      <w:pPr>
        <w:sectPr>
          <w:pgSz w:w="11900" w:h="16838" w:orient="portrait"/>
          <w:cols w:equalWidth="0" w:num="1">
            <w:col w:w="10580"/>
          </w:cols>
          <w:pgMar w:left="640" w:top="573" w:right="686" w:bottom="0" w:gutter="0" w:footer="0" w:header="0"/>
        </w:sectPr>
      </w:pPr>
    </w:p>
    <w:p>
      <w:pPr>
        <w:spacing w:after="0" w:line="111" w:lineRule="exact"/>
        <w:rPr>
          <w:sz w:val="24"/>
          <w:szCs w:val="24"/>
          <w:color w:val="auto"/>
        </w:rPr>
      </w:pPr>
    </w:p>
    <w:tbl>
      <w:tblPr>
        <w:tblLayout w:type="fixed"/>
        <w:tblInd w:w="40" w:type="dxa"/>
        <w:tblCellMar>
          <w:top w:w="0" w:type="dxa"/>
          <w:left w:w="0" w:type="dxa"/>
          <w:bottom w:w="0" w:type="dxa"/>
          <w:right w:w="0" w:type="dxa"/>
        </w:tblCellMar>
      </w:tblPr>
      <w:tr>
        <w:trPr>
          <w:trHeight w:val="228"/>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FFFFFF"/>
              </w:rPr>
              <w:t xml:space="preserve">Μείωση κινδύνου</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FFFFFF"/>
              </w:rPr>
              <w:t xml:space="preserve">Υψηλότερος κίνδυνος</w:t>
            </w:r>
          </w:p>
        </w:tc>
      </w:tr>
      <w:tr>
        <w:trPr>
          <w:trHeight w:val="207"/>
        </w:trPr>
        <w:tc>
          <w:tcPr>
            <w:tcW w:w="2540" w:type="dxa"/>
            <w:vAlign w:val="bottom"/>
            <w:shd w:val="clear" w:color="auto" w:fill="000000"/>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4"/>
                <w:szCs w:val="14"/>
                <w:color w:val="FFFFFF"/>
              </w:rPr>
              <w:t xml:space="preserve">Συνήθως χαμηλότερες ανταμοιβές</w:t>
            </w:r>
          </w:p>
        </w:tc>
        <w:tc>
          <w:tcPr>
            <w:tcW w:w="2620" w:type="dxa"/>
            <w:vAlign w:val="bottom"/>
            <w:shd w:val="clear" w:color="auto" w:fill="000000"/>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FFFFFF"/>
              </w:rPr>
              <w:t xml:space="preserve">Συνήθως υψηλότερες ανταμοιβές</w:t>
            </w: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25400</wp:posOffset>
            </wp:positionH>
            <wp:positionV relativeFrom="paragraph">
              <wp:posOffset>12700</wp:posOffset>
            </wp:positionV>
            <wp:extent cx="3258185" cy="3346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3258185" cy="33464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393065</wp:posOffset>
            </wp:positionV>
            <wp:extent cx="3329940" cy="952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3329940" cy="9525"/>
                    </a:xfrm>
                    <a:prstGeom prst="rect">
                      <a:avLst/>
                    </a:prstGeom>
                    <a:noFill/>
                  </pic:spPr>
                </pic:pic>
              </a:graphicData>
            </a:graphic>
          </wp:anchor>
        </w:drawing>
        <w:drawing>
          <wp:anchor simplePos="0" relativeHeight="251657728" behindDoc="1" locked="0" layoutInCell="0" allowOverlap="1">
            <wp:simplePos x="0" y="0"/>
            <wp:positionH relativeFrom="column">
              <wp:posOffset>-9525</wp:posOffset>
            </wp:positionH>
            <wp:positionV relativeFrom="paragraph">
              <wp:posOffset>-323215</wp:posOffset>
            </wp:positionV>
            <wp:extent cx="6767830" cy="952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301" w:lineRule="exact"/>
        <w:rPr>
          <w:sz w:val="24"/>
          <w:szCs w:val="24"/>
          <w:color w:val="auto"/>
        </w:rPr>
      </w:pPr>
    </w:p>
    <w:p>
      <w:pPr xmlns:w="http://schemas.openxmlformats.org/wordprocessingml/2006/main">
        <w:ind w:left="140" w:right="8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 δείκτης αυτός βασίζεται σε ιστορικά στοιχεία και ενδέχεται να μην αποτελεί αξιόπιστη ένδειξη του μελλοντικού προφίλ κινδύνου της εν λόγω κατηγορίας μετοχών.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-261620</wp:posOffset>
            </wp:positionV>
            <wp:extent cx="45720" cy="7747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κατηγορία κινδύνου που εμφανίζεται δεν είναι εγγυημένη και μπορεί να αλλάξει με την πάροδο του χρόνου.</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spacing w:after="0"/>
        <w:rPr>
          <w:sz w:val="20"/>
          <w:szCs w:val="20"/>
          <w:color w:val="auto"/>
        </w:rPr>
      </w:pPr>
      <w:r>
        <w:rPr xmlns:w="http://schemas.openxmlformats.org/wordprocessingml/2006/main">
          <w:rFonts w:ascii="Arial" w:cs="Arial" w:eastAsia="Arial" w:hAnsi="Arial"/>
          <w:sz w:val="16"/>
          <w:szCs w:val="16"/>
          <w:color w:val="auto"/>
        </w:rPr>
        <w:t xml:space="preserve">Η χαμηλότερη κατηγορία δεν σημαίνει μηδενικό κίνδυνο.</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-83820</wp:posOffset>
            </wp:positionV>
            <wp:extent cx="45720" cy="7747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40" w:right="120"/>
        <w:spacing w:after="0" w:line="290" w:lineRule="auto"/>
        <w:rPr>
          <w:sz w:val="20"/>
          <w:szCs w:val="20"/>
          <w:color w:val="auto"/>
        </w:rPr>
      </w:pPr>
      <w:r>
        <w:rPr xmlns:w="http://schemas.openxmlformats.org/wordprocessingml/2006/main">
          <w:rFonts w:ascii="Arial" w:cs="Arial" w:eastAsia="Arial" w:hAnsi="Arial"/>
          <w:sz w:val="16"/>
          <w:szCs w:val="16"/>
          <w:color w:val="auto"/>
        </w:rPr>
        <w:t xml:space="preserve">Η κατηγορία μετοχών αξιολογείται επτά λόγω της φύσης των επενδύσεών της, οι οποίες περιλαμβάνουν τους κινδύνους που απαριθμούνται κατωτέρω.</w:t>
      </w:r>
      <w:r>
        <w:rPr xmlns:w="http://schemas.openxmlformats.org/wordprocessingml/2006/main">
          <w:rFonts w:ascii="Arial" w:cs="Arial" w:eastAsia="Arial" w:hAnsi="Arial"/>
          <w:sz w:val="16"/>
          <w:szCs w:val="16"/>
          <w:color w:val="auto"/>
        </w:rPr>
        <w:t xml:space="preserve"> Αυτοί οι παράγοντες μπορεί να επηρεάσουν την αξία της Κατηγορίας Μετοχών ή να εκθέσουν την Κατηγορία Μετοχών σε ζημίες.</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-9525</wp:posOffset>
            </wp:positionH>
            <wp:positionV relativeFrom="paragraph">
              <wp:posOffset>-391160</wp:posOffset>
            </wp:positionV>
            <wp:extent cx="45720" cy="7747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9" w:lineRule="exact"/>
        <w:rPr>
          <w:sz w:val="24"/>
          <w:szCs w:val="24"/>
          <w:color w:val="auto"/>
        </w:rPr>
      </w:pPr>
    </w:p>
    <w:p>
      <w:pPr xmlns:w="http://schemas.openxmlformats.org/wordprocessingml/2006/main">
        <w:ind w:left="300" w:right="240" w:hanging="153"/>
        <w:spacing w:after="0" w:line="182" w:lineRule="auto"/>
        <w:tabs>
          <w:tab w:leader="none" w:pos="300" w:val="left"/>
        </w:tabs>
        <w:numPr>
          <w:ilvl w:val="0"/>
          <w:numId w:val="2"/>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Οι μετοχές σε μικρότερες εταιρείες συνήθως εμπορεύονται λιγότερο όγκο και παρουσιάζουν μεγαλύτερες διακυμάνσεις τιμών από ότι οι μεγαλύτερες εταιρείες.</w:t>
      </w:r>
    </w:p>
    <w:p>
      <w:pPr>
        <w:spacing w:after="0" w:line="27" w:lineRule="exact"/>
        <w:rPr>
          <w:rFonts w:ascii="Arial" w:cs="Arial" w:eastAsia="Arial" w:hAnsi="Arial"/>
          <w:sz w:val="35"/>
          <w:szCs w:val="35"/>
          <w:color w:val="auto"/>
          <w:vertAlign w:val="subscript"/>
        </w:rPr>
      </w:pPr>
    </w:p>
    <w:p>
      <w:pPr xmlns:w="http://schemas.openxmlformats.org/wordprocessingml/2006/main">
        <w:jc w:val="both"/>
        <w:ind w:left="300" w:right="220" w:hanging="153"/>
        <w:spacing w:after="0" w:line="193" w:lineRule="auto"/>
        <w:tabs>
          <w:tab w:leader="none" w:pos="300" w:val="left"/>
        </w:tabs>
        <w:numPr>
          <w:ilvl w:val="0"/>
          <w:numId w:val="2"/>
        </w:numPr>
        <w:rPr>
          <w:rFonts w:ascii="Arial" w:cs="Arial" w:eastAsia="Arial" w:hAnsi="Arial"/>
          <w:sz w:val="40"/>
          <w:szCs w:val="40"/>
          <w:color w:val="auto"/>
          <w:vertAlign w:val="subscript"/>
        </w:rPr>
      </w:pPr>
      <w:r>
        <w:rPr xmlns:w="http://schemas.openxmlformats.org/wordprocessingml/2006/main">
          <w:rFonts w:ascii="Arial" w:cs="Arial" w:eastAsia="Arial" w:hAnsi="Arial"/>
          <w:sz w:val="16"/>
          <w:szCs w:val="16"/>
          <w:color w:val="auto"/>
        </w:rPr>
        <w:t xml:space="preserve">Οι επενδύσεις σε κινητές αξίες τεχνολογίας υπόκεινται σε απουσία ή απώλεια προστασίας της πνευματικής ιδιοκτησίας, ραγδαίες αλλαγές στην τεχνολογία, κυβερνητικές ρυθμίσεις και ανταγωνισμό.</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06" w:lineRule="exact"/>
        <w:rPr>
          <w:sz w:val="24"/>
          <w:szCs w:val="24"/>
          <w:color w:val="auto"/>
        </w:rPr>
      </w:pPr>
    </w:p>
    <w:p>
      <w:pPr xmlns:w="http://schemas.openxmlformats.org/wordprocessingml/2006/main">
        <w:ind w:left="160" w:right="40" w:hanging="159"/>
        <w:spacing w:after="0" w:line="250" w:lineRule="auto"/>
        <w:tabs>
          <w:tab w:leader="none" w:pos="160" w:val="left"/>
        </w:tabs>
        <w:numPr>
          <w:ilvl w:val="0"/>
          <w:numId w:val="3"/>
        </w:numPr>
        <w:rPr>
          <w:rFonts w:ascii="Arial" w:cs="Arial" w:eastAsia="Arial" w:hAnsi="Arial"/>
          <w:sz w:val="33"/>
          <w:szCs w:val="33"/>
          <w:color w:val="auto"/>
          <w:vertAlign w:val="subscript"/>
        </w:rPr>
      </w:pPr>
      <w:r>
        <w:rPr xmlns:w="http://schemas.openxmlformats.org/wordprocessingml/2006/main">
          <w:rFonts w:ascii="Arial" w:cs="Arial" w:eastAsia="Arial" w:hAnsi="Arial"/>
          <w:sz w:val="14"/>
          <w:szCs w:val="14"/>
          <w:color w:val="auto"/>
        </w:rPr>
        <w:t xml:space="preserve">Οι αναδυόμενες αγορές είναι γενικά πιο ευαίσθητες στις οικονομικές και πολιτικές συνθήκες απ' ότι οι ανεπτυγμένες αγορές.</w:t>
      </w:r>
      <w:r>
        <w:rPr xmlns:w="http://schemas.openxmlformats.org/wordprocessingml/2006/main">
          <w:rFonts w:ascii="Arial" w:cs="Arial" w:eastAsia="Arial" w:hAnsi="Arial"/>
          <w:sz w:val="14"/>
          <w:szCs w:val="14"/>
          <w:color w:val="auto"/>
        </w:rPr>
        <w:t xml:space="preserve"> Άλλοι παράγοντες είναι ο μεγαλύτερος «κίνδυνος ρευστότητας», οι περιορισμοί στις επενδύσεις ή τη μεταβίβαση περιουσιακών στοιχείων, η αποτυχημένη/καθυστερημένη παράδοση τίτλων ή πληρωμών στο Ταμείο και οι κίνδυνοι που σχετίζονται με τη βιωσιμότητα.</w:t>
      </w:r>
    </w:p>
    <w:p>
      <w:pPr>
        <w:spacing w:after="0" w:line="29" w:lineRule="exact"/>
        <w:rPr>
          <w:rFonts w:ascii="Arial" w:cs="Arial" w:eastAsia="Arial" w:hAnsi="Arial"/>
          <w:sz w:val="33"/>
          <w:szCs w:val="33"/>
          <w:color w:val="auto"/>
          <w:vertAlign w:val="subscript"/>
        </w:rPr>
      </w:pPr>
    </w:p>
    <w:p>
      <w:pPr xmlns:w="http://schemas.openxmlformats.org/wordprocessingml/2006/main">
        <w:ind w:left="160" w:right="20" w:hanging="159"/>
        <w:spacing w:after="0" w:line="207" w:lineRule="auto"/>
        <w:tabs>
          <w:tab w:leader="none" w:pos="160" w:val="left"/>
        </w:tabs>
        <w:numPr>
          <w:ilvl w:val="0"/>
          <w:numId w:val="3"/>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Ο επενδυτικός κίνδυνος συγκεντρώνεται σε συγκεκριμένους τομείς, χώρες, νομίσματα ή εταιρείες.</w:t>
      </w:r>
      <w:r>
        <w:rPr xmlns:w="http://schemas.openxmlformats.org/wordprocessingml/2006/main">
          <w:rFonts w:ascii="Arial" w:cs="Arial" w:eastAsia="Arial" w:hAnsi="Arial"/>
          <w:sz w:val="15"/>
          <w:szCs w:val="15"/>
          <w:color w:val="auto"/>
        </w:rPr>
        <w:t xml:space="preserve"> Αυτό σημαίνει ότι το Ταμείο είναι πιο ευαίσθητο σε οποιαδήποτε τοπικά οικονομικά, εμπορικά, πολιτικά, σχετικά με τη βιωσιμότητα ή ρυθμιστικά γεγονότα.</w:t>
      </w:r>
    </w:p>
    <w:p>
      <w:pPr>
        <w:spacing w:after="0" w:line="1" w:lineRule="exact"/>
        <w:rPr>
          <w:rFonts w:ascii="Arial" w:cs="Arial" w:eastAsia="Arial" w:hAnsi="Arial"/>
          <w:sz w:val="37"/>
          <w:szCs w:val="37"/>
          <w:color w:val="auto"/>
          <w:vertAlign w:val="subscript"/>
        </w:rPr>
      </w:pPr>
    </w:p>
    <w:p>
      <w:pPr xmlns:w="http://schemas.openxmlformats.org/wordprocessingml/2006/main">
        <w:ind w:left="160" w:hanging="159"/>
        <w:spacing w:after="0" w:line="180" w:lineRule="auto"/>
        <w:tabs>
          <w:tab w:leader="none" w:pos="160" w:val="left"/>
        </w:tabs>
        <w:numPr>
          <w:ilvl w:val="0"/>
          <w:numId w:val="3"/>
        </w:numPr>
        <w:rPr>
          <w:rFonts w:ascii="Arial" w:cs="Arial" w:eastAsia="Arial" w:hAnsi="Arial"/>
          <w:sz w:val="27"/>
          <w:szCs w:val="27"/>
          <w:color w:val="auto"/>
          <w:vertAlign w:val="subscript"/>
        </w:rPr>
      </w:pPr>
      <w:r>
        <w:rPr xmlns:w="http://schemas.openxmlformats.org/wordprocessingml/2006/main">
          <w:rFonts w:ascii="Arial" w:cs="Arial" w:eastAsia="Arial" w:hAnsi="Arial"/>
          <w:sz w:val="13"/>
          <w:szCs w:val="13"/>
          <w:color w:val="auto"/>
        </w:rPr>
        <w:t xml:space="preserve">Η αξία των μετοχών και των τίτλων που σχετίζονται με μετοχές μπορεί να επηρεαστεί από την καθημερινή</w:t>
      </w:r>
    </w:p>
    <w:p>
      <w:pPr>
        <w:spacing w:after="0" w:line="56" w:lineRule="exact"/>
        <w:rPr>
          <w:sz w:val="24"/>
          <w:szCs w:val="24"/>
          <w:color w:val="auto"/>
        </w:rPr>
      </w:pPr>
    </w:p>
    <w:p>
      <w:pPr xmlns:w="http://schemas.openxmlformats.org/wordprocessingml/2006/main">
        <w:ind w:left="160"/>
        <w:spacing w:after="0" w:line="285" w:lineRule="auto"/>
        <w:rPr>
          <w:sz w:val="20"/>
          <w:szCs w:val="20"/>
          <w:color w:val="auto"/>
        </w:rPr>
      </w:pPr>
      <w:r>
        <w:rPr xmlns:w="http://schemas.openxmlformats.org/wordprocessingml/2006/main">
          <w:rFonts w:ascii="Arial" w:cs="Arial" w:eastAsia="Arial" w:hAnsi="Arial"/>
          <w:sz w:val="16"/>
          <w:szCs w:val="16"/>
          <w:color w:val="auto"/>
        </w:rPr>
        <w:t xml:space="preserve">κινήσεις της χρηματιστηριακής αγοράς.</w:t>
      </w:r>
      <w:r>
        <w:rPr xmlns:w="http://schemas.openxmlformats.org/wordprocessingml/2006/main">
          <w:rFonts w:ascii="Arial" w:cs="Arial" w:eastAsia="Arial" w:hAnsi="Arial"/>
          <w:sz w:val="16"/>
          <w:szCs w:val="16"/>
          <w:color w:val="auto"/>
        </w:rPr>
        <w:t xml:space="preserve"> Άλλοι παράγοντες που ασκούν επιρροή περιλαμβάνουν τις πολιτικές, οικονομικές ειδήσεις, τα κέρδη των εταιριών και σημαντικά επιχειρηματικά γεγονότα.</w:t>
      </w:r>
    </w:p>
    <w:p>
      <w:pPr xmlns:w="http://schemas.openxmlformats.org/wordprocessingml/2006/main">
        <w:spacing w:after="0"/>
        <w:rPr>
          <w:sz w:val="20"/>
          <w:szCs w:val="20"/>
          <w:color w:val="auto"/>
        </w:rPr>
      </w:pPr>
      <w:r>
        <w:rPr xmlns:w="http://schemas.openxmlformats.org/wordprocessingml/2006/main">
          <w:rFonts w:ascii="Arial" w:cs="Arial" w:eastAsia="Arial" w:hAnsi="Arial"/>
          <w:sz w:val="16"/>
          <w:szCs w:val="16"/>
          <w:color w:val="auto"/>
        </w:rPr>
        <w:t xml:space="preserve">Οι ειδικοί κίνδυνοι που δεν λαμβάνονται επαρκώς υπόψη από τον δείκτη κινδύνου περιλαμβάνουν:</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-102235</wp:posOffset>
            </wp:positionH>
            <wp:positionV relativeFrom="paragraph">
              <wp:posOffset>-84455</wp:posOffset>
            </wp:positionV>
            <wp:extent cx="45720" cy="7747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4"/>
          <w:szCs w:val="24"/>
          <w:color w:val="auto"/>
        </w:rPr>
      </w:pPr>
    </w:p>
    <w:p>
      <w:pPr xmlns:w="http://schemas.openxmlformats.org/wordprocessingml/2006/main">
        <w:ind w:left="160" w:right="100" w:hanging="159"/>
        <w:spacing w:after="0" w:line="208" w:lineRule="auto"/>
        <w:tabs>
          <w:tab w:leader="none" w:pos="160" w:val="left"/>
        </w:tabs>
        <w:numPr>
          <w:ilvl w:val="0"/>
          <w:numId w:val="4"/>
        </w:numPr>
        <w:rPr>
          <w:rFonts w:ascii="Arial" w:cs="Arial" w:eastAsia="Arial" w:hAnsi="Arial"/>
          <w:sz w:val="37"/>
          <w:szCs w:val="37"/>
          <w:color w:val="auto"/>
          <w:vertAlign w:val="subscript"/>
        </w:rPr>
      </w:pPr>
      <w:r>
        <w:rPr xmlns:w="http://schemas.openxmlformats.org/wordprocessingml/2006/main">
          <w:rFonts w:ascii="Arial" w:cs="Arial" w:eastAsia="Arial" w:hAnsi="Arial"/>
          <w:sz w:val="15"/>
          <w:szCs w:val="15"/>
          <w:color w:val="auto"/>
        </w:rPr>
        <w:t xml:space="preserve">Κίνδυνος αντισυμβαλλομένου:</w:t>
      </w:r>
      <w:r>
        <w:rPr xmlns:w="http://schemas.openxmlformats.org/wordprocessingml/2006/main">
          <w:rFonts w:ascii="Arial" w:cs="Arial" w:eastAsia="Arial" w:hAnsi="Arial"/>
          <w:sz w:val="15"/>
          <w:szCs w:val="15"/>
          <w:color w:val="auto"/>
        </w:rPr>
        <w:t xml:space="preserve"> Η αφερεγγυότητα οποιουδήποτε ιδρύματος που παρέχει υπηρεσίες, όπως η φύλαξη περιουσιακών στοιχείων ή ενεργεί ως αντισυμβαλλόμενος σε παράγωγα ή άλλα μέσα, μπορεί να εκθέσει την κατηγορία μετοχών σε οικονομική ζημία.</w:t>
      </w:r>
    </w:p>
    <w:p>
      <w:pPr>
        <w:spacing w:after="0" w:line="28" w:lineRule="exact"/>
        <w:rPr>
          <w:rFonts w:ascii="Arial" w:cs="Arial" w:eastAsia="Arial" w:hAnsi="Arial"/>
          <w:sz w:val="37"/>
          <w:szCs w:val="37"/>
          <w:color w:val="auto"/>
          <w:vertAlign w:val="subscript"/>
        </w:rPr>
      </w:pPr>
    </w:p>
    <w:p>
      <w:pPr xmlns:w="http://schemas.openxmlformats.org/wordprocessingml/2006/main">
        <w:ind w:left="160" w:right="40" w:hanging="159"/>
        <w:spacing w:after="0" w:line="182" w:lineRule="auto"/>
        <w:tabs>
          <w:tab w:leader="none" w:pos="160" w:val="left"/>
        </w:tabs>
        <w:numPr>
          <w:ilvl w:val="0"/>
          <w:numId w:val="4"/>
        </w:numPr>
        <w:rPr>
          <w:rFonts w:ascii="Arial" w:cs="Arial" w:eastAsia="Arial" w:hAnsi="Arial"/>
          <w:sz w:val="35"/>
          <w:szCs w:val="35"/>
          <w:color w:val="auto"/>
          <w:vertAlign w:val="subscript"/>
        </w:rPr>
      </w:pPr>
      <w:r>
        <w:rPr xmlns:w="http://schemas.openxmlformats.org/wordprocessingml/2006/main">
          <w:rFonts w:ascii="Arial" w:cs="Arial" w:eastAsia="Arial" w:hAnsi="Arial"/>
          <w:sz w:val="15"/>
          <w:szCs w:val="15"/>
          <w:color w:val="auto"/>
        </w:rPr>
        <w:t xml:space="preserve">Κίνδυνος ρευστότητας:</w:t>
      </w:r>
      <w:r>
        <w:rPr xmlns:w="http://schemas.openxmlformats.org/wordprocessingml/2006/main">
          <w:rFonts w:ascii="Arial" w:cs="Arial" w:eastAsia="Arial" w:hAnsi="Arial"/>
          <w:sz w:val="15"/>
          <w:szCs w:val="15"/>
          <w:color w:val="auto"/>
        </w:rPr>
        <w:t xml:space="preserve"> Η χαμηλότερη ρευστότητα σημαίνει ότι δεν υπάρχουν αρκετοί αγοραστές ή πωλητές που να επιτρέπουν στο Ταμείο να πωλεί ή να αγοράζει επενδύσεις άμεσα.</w:t>
      </w:r>
    </w:p>
    <w:p>
      <w:pPr>
        <w:spacing w:after="0" w:line="411" w:lineRule="exact"/>
        <w:rPr>
          <w:sz w:val="24"/>
          <w:szCs w:val="24"/>
          <w:color w:val="auto"/>
        </w:rPr>
      </w:pPr>
    </w:p>
    <w:p>
      <w:pPr>
        <w:sectPr>
          <w:pgSz w:w="11900" w:h="16838" w:orient="portrait"/>
          <w:cols w:equalWidth="0" w:num="2">
            <w:col w:w="5180" w:space="380"/>
            <w:col w:w="5020"/>
          </w:cols>
          <w:pgMar w:left="640" w:top="573" w:right="686" w:bottom="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5" w:lineRule="exact"/>
        <w:rPr>
          <w:sz w:val="24"/>
          <w:szCs w:val="24"/>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2"/>
          <w:szCs w:val="12"/>
          <w:color w:val="auto"/>
        </w:rPr>
        <w:t xml:space="preserve">Το σημείο αναφοράς είναι η πνευματική ιδιοκτησία του φορέα παροχής του δείκτη.</w:t>
      </w:r>
      <w:r>
        <w:rPr xmlns:w="http://schemas.openxmlformats.org/wordprocessingml/2006/main">
          <w:rFonts w:ascii="Arial" w:cs="Arial" w:eastAsia="Arial" w:hAnsi="Arial"/>
          <w:sz w:val="12"/>
          <w:szCs w:val="12"/>
          <w:color w:val="auto"/>
        </w:rPr>
        <w:t xml:space="preserve"> Η κλάση μετοχών δεν υποστηρίζεται ή δεν υποστηρίζεται από την υπηρεσία παροχής ευρετηρίου.</w:t>
      </w:r>
      <w:r>
        <w:rPr xmlns:w="http://schemas.openxmlformats.org/wordprocessingml/2006/main">
          <w:rFonts w:ascii="Arial" w:cs="Arial" w:eastAsia="Arial" w:hAnsi="Arial"/>
          <w:sz w:val="12"/>
          <w:szCs w:val="12"/>
          <w:color w:val="auto"/>
        </w:rPr>
        <w:t xml:space="preserve"> Παρακαλείσθε να ανατρέξετε στο ενημερωτικό δελτίο του Ταμείου για πλήρη αποποίηση ευθυνών.</w:t>
      </w:r>
    </w:p>
    <w:p>
      <w:pPr>
        <w:sectPr>
          <w:pgSz w:w="11900" w:h="16838" w:orient="portrait"/>
          <w:cols w:equalWidth="0" w:num="1">
            <w:col w:w="10580"/>
          </w:cols>
          <w:pgMar w:left="640" w:top="573" w:right="686" w:bottom="0" w:gutter="0" w:footer="0" w:header="0"/>
          <w:type w:val="continuous"/>
        </w:sectPr>
      </w:pPr>
    </w:p>
    <w:bookmarkStart w:id="1" w:name="page2"/>
    <w:bookmarkEnd w:id="1"/>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Χρεώσεις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sectPr>
      </w:pPr>
    </w:p>
    <w:p>
      <w:pPr>
        <w:spacing w:after="0" w:line="168" w:lineRule="exact"/>
        <w:rPr>
          <w:sz w:val="20"/>
          <w:szCs w:val="20"/>
          <w:color w:val="auto"/>
        </w:rPr>
      </w:pPr>
    </w:p>
    <w:p>
      <w:pPr xmlns:w="http://schemas.openxmlformats.org/wordprocessingml/2006/main">
        <w:ind w:left="60" w:right="60"/>
        <w:spacing w:after="0" w:line="314" w:lineRule="auto"/>
        <w:rPr>
          <w:sz w:val="20"/>
          <w:szCs w:val="20"/>
          <w:color w:val="auto"/>
        </w:rPr>
      </w:pPr>
      <w:r>
        <w:rPr xmlns:w="http://schemas.openxmlformats.org/wordprocessingml/2006/main">
          <w:rFonts w:ascii="Arial" w:cs="Arial" w:eastAsia="Arial" w:hAnsi="Arial"/>
          <w:sz w:val="16"/>
          <w:szCs w:val="16"/>
          <w:color w:val="auto"/>
        </w:rPr>
        <w:t xml:space="preserve">Τα τέλη χρησιμοποιούνται για την κάλυψη των εξόδων λειτουργίας της κατηγορίας μετοχών, συμπεριλαμβανομένων των εξόδων μάρκετινγκ και διανομής.</w:t>
      </w:r>
      <w:r>
        <w:rPr xmlns:w="http://schemas.openxmlformats.org/wordprocessingml/2006/main">
          <w:rFonts w:ascii="Arial" w:cs="Arial" w:eastAsia="Arial" w:hAnsi="Arial"/>
          <w:sz w:val="16"/>
          <w:szCs w:val="16"/>
          <w:color w:val="auto"/>
        </w:rPr>
        <w:t xml:space="preserve"> Αυτές οι χρεώσεις μειώνουν τη δυνητική ανάπτυξη της επένδυσής σας.</w:t>
      </w:r>
    </w:p>
    <w:p>
      <w:pPr>
        <w:spacing w:after="0" w:line="2" w:lineRule="exact"/>
        <w:rPr>
          <w:sz w:val="20"/>
          <w:szCs w:val="20"/>
          <w:color w:val="auto"/>
        </w:rPr>
      </w:pPr>
    </w:p>
    <w:p>
      <w:pPr xmlns:w="http://schemas.openxmlformats.org/wordprocessingml/2006/main">
        <w:ind w:left="60" w:right="240"/>
        <w:spacing w:after="0" w:line="311" w:lineRule="auto"/>
        <w:rPr>
          <w:sz w:val="20"/>
          <w:szCs w:val="20"/>
          <w:color w:val="auto"/>
        </w:rPr>
      </w:pPr>
      <w:r>
        <w:rPr xmlns:w="http://schemas.openxmlformats.org/wordprocessingml/2006/main">
          <w:rFonts w:ascii="Arial" w:cs="Arial" w:eastAsia="Arial" w:hAnsi="Arial"/>
          <w:sz w:val="16"/>
          <w:szCs w:val="16"/>
          <w:color w:val="auto"/>
        </w:rPr>
        <w:t xml:space="preserve">*Δεν ισχύει για επενδυτές σε δευτερογενείς αγορές.</w:t>
      </w:r>
      <w:r>
        <w:rPr xmlns:w="http://schemas.openxmlformats.org/wordprocessingml/2006/main">
          <w:rFonts w:ascii="Arial" w:cs="Arial" w:eastAsia="Arial" w:hAnsi="Arial"/>
          <w:sz w:val="16"/>
          <w:szCs w:val="16"/>
          <w:color w:val="auto"/>
        </w:rPr>
        <w:t xml:space="preserve"> Οι επενδυτές που συναλλάσσονται σε χρηματιστήριο αξιών θα πληρώνουν τέλη που χρεώνουν οι χρηματιστές τους.</w:t>
      </w:r>
      <w:r>
        <w:rPr xmlns:w="http://schemas.openxmlformats.org/wordprocessingml/2006/main">
          <w:rFonts w:ascii="Arial" w:cs="Arial" w:eastAsia="Arial" w:hAnsi="Arial"/>
          <w:sz w:val="16"/>
          <w:szCs w:val="16"/>
          <w:color w:val="auto"/>
        </w:rPr>
        <w:t xml:space="preserve"> Τα εν λόγω έξοδα είναι δημοσίως διαθέσιμα σε χρηματιστήρια στα οποία οι μετοχές είναι εισηγμένες και αποτελούν αντικείμενο διαπραγμάτευσης, ή μπορούν να ληφθούν από χρηματιστές.</w:t>
      </w:r>
    </w:p>
    <w:p>
      <w:pPr>
        <w:spacing w:after="0" w:line="2" w:lineRule="exact"/>
        <w:rPr>
          <w:sz w:val="20"/>
          <w:szCs w:val="20"/>
          <w:color w:val="auto"/>
        </w:rPr>
      </w:pPr>
    </w:p>
    <w:p>
      <w:pPr xmlns:w="http://schemas.openxmlformats.org/wordprocessingml/2006/main">
        <w:ind w:left="60" w:right="140"/>
        <w:spacing w:after="0" w:line="315" w:lineRule="auto"/>
        <w:rPr>
          <w:sz w:val="20"/>
          <w:szCs w:val="20"/>
          <w:color w:val="auto"/>
        </w:rPr>
      </w:pPr>
      <w:r>
        <w:rPr xmlns:w="http://schemas.openxmlformats.org/wordprocessingml/2006/main">
          <w:rFonts w:ascii="Arial" w:cs="Arial" w:eastAsia="Arial" w:hAnsi="Arial"/>
          <w:sz w:val="16"/>
          <w:szCs w:val="16"/>
          <w:color w:val="auto"/>
        </w:rPr>
        <w:t xml:space="preserve">*Οι εξουσιοδοτημένοι συμμετέχοντες που συναλλάσσονται απευθείας με το Ταμείο θα καταβάλλουν το σχετικό κόστος συναλλαγής, συμπεριλαμβανομένων, κατά τις εξοφλήσεις, τυχόν ισχύοντος φόρου υπεραξίας (CGT) και άλλων φόρων επί των υποκείμενων τίτλων.</w:t>
      </w:r>
    </w:p>
    <w:p>
      <w:pPr>
        <w:spacing w:after="0" w:line="30" w:lineRule="exact"/>
        <w:rPr>
          <w:sz w:val="20"/>
          <w:szCs w:val="20"/>
          <w:color w:val="auto"/>
        </w:rPr>
      </w:pPr>
    </w:p>
    <w:p>
      <w:pPr xmlns:w="http://schemas.openxmlformats.org/wordprocessingml/2006/main">
        <w:ind w:left="60"/>
        <w:spacing w:after="0" w:line="337" w:lineRule="auto"/>
        <w:rPr>
          <w:sz w:val="20"/>
          <w:szCs w:val="20"/>
          <w:color w:val="auto"/>
        </w:rPr>
      </w:pPr>
      <w:r>
        <w:rPr xmlns:w="http://schemas.openxmlformats.org/wordprocessingml/2006/main">
          <w:rFonts w:ascii="Arial" w:cs="Arial" w:eastAsia="Arial" w:hAnsi="Arial"/>
          <w:sz w:val="15"/>
          <w:szCs w:val="15"/>
          <w:color w:val="auto"/>
        </w:rPr>
        <w:t xml:space="preserve">Το ποσό των τρεχουσών επιβαρύνσεων βασίζεται στο σταθερό ετήσιο τέλος που χρεώνεται στην κατηγορία μετοχών σύμφωνα με το ενημερωτικό δελτίο του Ταμείου.</w:t>
      </w:r>
      <w:r>
        <w:rPr xmlns:w="http://schemas.openxmlformats.org/wordprocessingml/2006/main">
          <w:rFonts w:ascii="Arial" w:cs="Arial" w:eastAsia="Arial" w:hAnsi="Arial"/>
          <w:sz w:val="15"/>
          <w:szCs w:val="15"/>
          <w:color w:val="auto"/>
        </w:rPr>
        <w:t xml:space="preserve"> Ο αριθμός αυτός αποκλείει το κόστος που συνδέεται με τις συναλλαγές χαρτοφυλακίου, εκτός από το κόστος που καταβάλλεται στον θεματοφύλακα και τυχόν τέλος εισόδου/εξόδου που καταβάλλεται σε υποκείμενο σύστημα συλλογικών επενδύσεων (αν υπάρχει).</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48" w:lineRule="exact"/>
        <w:rPr>
          <w:sz w:val="20"/>
          <w:szCs w:val="20"/>
          <w:color w:val="auto"/>
        </w:rPr>
      </w:pPr>
    </w:p>
    <w:p>
      <w:pPr xmlns:w="http://schemas.openxmlformats.org/wordprocessingml/2006/main">
        <w:jc w:val="both"/>
        <w:ind w:left="20" w:right="40" w:hanging="6"/>
        <w:spacing w:after="0" w:line="333" w:lineRule="auto"/>
        <w:tabs>
          <w:tab w:leader="none" w:pos="239" w:val="left"/>
        </w:tabs>
        <w:numPr>
          <w:ilvl w:val="0"/>
          <w:numId w:val="5"/>
        </w:numPr>
        <w:rPr>
          <w:rFonts w:ascii="Arial" w:cs="Arial" w:eastAsia="Arial" w:hAnsi="Arial"/>
          <w:sz w:val="15"/>
          <w:szCs w:val="15"/>
          <w:color w:val="auto"/>
        </w:rPr>
      </w:pPr>
      <w:r>
        <w:rPr xmlns:w="http://schemas.openxmlformats.org/wordprocessingml/2006/main">
          <w:rFonts w:ascii="Arial" w:cs="Arial" w:eastAsia="Arial" w:hAnsi="Arial"/>
          <w:sz w:val="15"/>
          <w:szCs w:val="15"/>
          <w:color w:val="auto"/>
        </w:rPr>
        <w:t xml:space="preserve">Στον βαθμό που το Ταμείο αναλαμβάνει τη χορήγηση δανείων για τη μείωση του κόστους, το Ταμείο θα εισπράξει το 62,5% των σχετικών εσόδων και το υπόλοιπο 37,5% θα εισπραχθεί από τη BlackRock ως εντολοδόχος δανεισμού τίτλων.</w:t>
      </w:r>
      <w:r>
        <w:rPr xmlns:w="http://schemas.openxmlformats.org/wordprocessingml/2006/main">
          <w:rFonts w:ascii="Arial" w:cs="Arial" w:eastAsia="Arial" w:hAnsi="Arial"/>
          <w:sz w:val="15"/>
          <w:szCs w:val="15"/>
          <w:color w:val="auto"/>
        </w:rPr>
        <w:t xml:space="preserve"> Δεδομένου ότι ο επιμερισμός των εσόδων από τον δανεισμό τίτλων δεν αυξάνει το κόστος λειτουργίας του Ταμείου, αυτό έχει εξαιρεθεί από τις τρέχουσες επιβαρύνσεις.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3175</wp:posOffset>
            </wp:positionV>
            <wp:extent cx="3208020" cy="17272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3208020" cy="172720"/>
                    </a:xfrm>
                    <a:prstGeom prst="rect">
                      <a:avLst/>
                    </a:prstGeom>
                    <a:noFill/>
                  </pic:spPr>
                </pic:pic>
              </a:graphicData>
            </a:graphic>
          </wp:anchor>
        </w:drawing>
      </w:r>
    </w:p>
    <w:p>
      <w:pPr>
        <w:spacing w:after="0" w:line="18"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Εφάπαξ χρεώσεις που αναλήφθηκαν πριν ή μετά την επένδυση</w:t>
      </w:r>
    </w:p>
    <w:p>
      <w:pPr>
        <w:spacing w:after="0" w:line="54" w:lineRule="exact"/>
        <w:rPr>
          <w:sz w:val="20"/>
          <w:szCs w:val="20"/>
          <w:color w:val="auto"/>
        </w:rPr>
      </w:pPr>
    </w:p>
    <w:tbl>
      <w:tblPr>
        <w:tblLayout w:type="fixed"/>
        <w:tblInd w:w="0" w:type="dxa"/>
        <w:tblCellMar>
          <w:top w:w="0" w:type="dxa"/>
          <w:left w:w="0" w:type="dxa"/>
          <w:bottom w:w="0" w:type="dxa"/>
          <w:right w:w="0" w:type="dxa"/>
        </w:tblCellMar>
      </w:tblPr>
      <w:tr>
        <w:trPr>
          <w:trHeight w:val="26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Τέλος εισόδου</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r>
        <w:trPr>
          <w:trHeight w:val="243"/>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Έξοδοι</w:t>
            </w:r>
          </w:p>
        </w:tc>
        <w:tc>
          <w:tcPr>
            <w:tcW w:w="1540" w:type="dxa"/>
            <w:vAlign w:val="bottom"/>
            <w:tcBorders>
              <w:right w:val="single" w:sz="8" w:color="auto"/>
            </w:tcBorders>
          </w:tcPr>
          <w:p>
            <w:pPr xmlns:w="http://schemas.openxmlformats.org/wordprocessingml/2006/main">
              <w:ind w:left="1040"/>
              <w:spacing w:after="0"/>
              <w:rPr>
                <w:sz w:val="20"/>
                <w:szCs w:val="20"/>
                <w:color w:val="auto"/>
              </w:rPr>
            </w:pPr>
            <w:r>
              <w:rPr xmlns:w="http://schemas.openxmlformats.org/wordprocessingml/2006/main">
                <w:rFonts w:ascii="Arial" w:cs="Arial" w:eastAsia="Arial" w:hAnsi="Arial"/>
                <w:sz w:val="16"/>
                <w:szCs w:val="16"/>
                <w:color w:val="auto"/>
                <w:w w:val="98"/>
              </w:rPr>
              <w:t xml:space="preserve">Καμία*</w:t>
            </w:r>
          </w:p>
        </w:tc>
      </w:tr>
      <w:tr>
        <w:trPr>
          <w:trHeight w:val="41"/>
        </w:trPr>
        <w:tc>
          <w:tcPr>
            <w:tcW w:w="3540" w:type="dxa"/>
            <w:vAlign w:val="bottom"/>
            <w:tcBorders>
              <w:bottom w:val="single" w:sz="8" w:color="auto"/>
            </w:tcBorders>
            <w:shd w:val="clear" w:color="auto" w:fill="000000"/>
          </w:tcPr>
          <w:p>
            <w:pPr>
              <w:spacing w:after="0"/>
              <w:rPr>
                <w:sz w:val="3"/>
                <w:szCs w:val="3"/>
                <w:color w:val="auto"/>
              </w:rPr>
            </w:pPr>
          </w:p>
        </w:tc>
        <w:tc>
          <w:tcPr>
            <w:tcW w:w="1540" w:type="dxa"/>
            <w:vAlign w:val="bottom"/>
            <w:tcBorders>
              <w:bottom w:val="single" w:sz="8" w:color="auto"/>
              <w:right w:val="single" w:sz="8" w:color="auto"/>
            </w:tcBorders>
          </w:tcPr>
          <w:p>
            <w:pPr>
              <w:spacing w:after="0"/>
              <w:rPr>
                <w:sz w:val="3"/>
                <w:szCs w:val="3"/>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-201930</wp:posOffset>
            </wp:positionV>
            <wp:extent cx="2245995" cy="952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2245995"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-394335</wp:posOffset>
            </wp:positionV>
            <wp:extent cx="3199130" cy="952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14" w:lineRule="exact"/>
        <w:rPr>
          <w:sz w:val="20"/>
          <w:szCs w:val="20"/>
          <w:color w:val="auto"/>
        </w:rPr>
      </w:pPr>
    </w:p>
    <w:p>
      <w:pPr xmlns:w="http://schemas.openxmlformats.org/wordprocessingml/2006/main">
        <w:ind w:left="100" w:right="240"/>
        <w:spacing w:after="0" w:line="340" w:lineRule="auto"/>
        <w:rPr>
          <w:sz w:val="20"/>
          <w:szCs w:val="20"/>
          <w:color w:val="auto"/>
        </w:rPr>
      </w:pPr>
      <w:r>
        <w:rPr xmlns:w="http://schemas.openxmlformats.org/wordprocessingml/2006/main">
          <w:rFonts w:ascii="Arial" w:cs="Arial" w:eastAsia="Arial" w:hAnsi="Arial"/>
          <w:sz w:val="14"/>
          <w:szCs w:val="14"/>
          <w:color w:val="auto"/>
        </w:rPr>
        <w:t xml:space="preserve">Αυτό είναι το μέγιστο που θα μπορούσε να ληφθεί από τα χρήματά σας πριν επενδυθούν ή πριν από τα έσοδα των επενδύσεών σας καταβάλλονται.</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-17145</wp:posOffset>
            </wp:positionV>
            <wp:extent cx="3208020" cy="18351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3208020" cy="183515"/>
                    </a:xfrm>
                    <a:prstGeom prst="rect">
                      <a:avLst/>
                    </a:prstGeom>
                    <a:noFill/>
                  </pic:spPr>
                </pic:pic>
              </a:graphicData>
            </a:graphic>
          </wp:anchor>
        </w:drawing>
      </w:r>
    </w:p>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Τέλη που εισπράττονται από την Κατηγορία Μετοχών κατά τη διάρκεια κάθε έτους</w:t>
      </w:r>
    </w:p>
    <w:p>
      <w:pPr>
        <w:spacing w:after="0" w:line="71" w:lineRule="exact"/>
        <w:rPr>
          <w:sz w:val="20"/>
          <w:szCs w:val="20"/>
          <w:color w:val="auto"/>
        </w:rPr>
      </w:pPr>
    </w:p>
    <w:tbl>
      <w:tblPr>
        <w:tblLayout w:type="fixed"/>
        <w:tblInd w:w="0" w:type="dxa"/>
        <w:tblCellMar>
          <w:top w:w="0" w:type="dxa"/>
          <w:left w:w="0" w:type="dxa"/>
          <w:bottom w:w="0" w:type="dxa"/>
          <w:right w:w="0" w:type="dxa"/>
        </w:tblCellMar>
      </w:tblPr>
      <w:tr>
        <w:trPr>
          <w:trHeight w:val="234"/>
        </w:trPr>
        <w:tc>
          <w:tcPr>
            <w:tcW w:w="3540" w:type="dxa"/>
            <w:vAlign w:val="bottom"/>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Τρέχουσες χρεώσεις</w:t>
            </w:r>
          </w:p>
        </w:tc>
        <w:tc>
          <w:tcPr>
            <w:tcW w:w="700" w:type="dxa"/>
            <w:vAlign w:val="bottom"/>
          </w:tcPr>
          <w:p>
            <w:pPr>
              <w:spacing w:after="0"/>
              <w:rPr>
                <w:sz w:val="20"/>
                <w:szCs w:val="20"/>
                <w:color w:val="auto"/>
              </w:rPr>
            </w:pPr>
          </w:p>
        </w:tc>
        <w:tc>
          <w:tcPr>
            <w:tcW w:w="840" w:type="dxa"/>
            <w:vAlign w:val="bottom"/>
            <w:tcBorders>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0,40%**</w:t>
            </w:r>
          </w:p>
        </w:tc>
      </w:tr>
      <w:tr>
        <w:trPr>
          <w:trHeight w:val="24"/>
        </w:trPr>
        <w:tc>
          <w:tcPr>
            <w:tcW w:w="3540" w:type="dxa"/>
            <w:vAlign w:val="bottom"/>
            <w:tcBorders>
              <w:bottom w:val="single" w:sz="8" w:color="auto"/>
            </w:tcBorders>
            <w:shd w:val="clear" w:color="auto" w:fill="000000"/>
          </w:tcPr>
          <w:p>
            <w:pPr>
              <w:spacing w:after="0"/>
              <w:rPr>
                <w:sz w:val="2"/>
                <w:szCs w:val="2"/>
                <w:color w:val="auto"/>
              </w:rPr>
            </w:pPr>
          </w:p>
        </w:tc>
        <w:tc>
          <w:tcPr>
            <w:tcW w:w="700" w:type="dxa"/>
            <w:vAlign w:val="bottom"/>
            <w:tcBorders>
              <w:bottom w:val="single" w:sz="8" w:color="auto"/>
            </w:tcBorders>
          </w:tcPr>
          <w:p>
            <w:pPr>
              <w:spacing w:after="0"/>
              <w:rPr>
                <w:sz w:val="2"/>
                <w:szCs w:val="2"/>
                <w:color w:val="auto"/>
              </w:rPr>
            </w:pPr>
          </w:p>
        </w:tc>
        <w:tc>
          <w:tcPr>
            <w:tcW w:w="840" w:type="dxa"/>
            <w:vAlign w:val="bottom"/>
            <w:tcBorders>
              <w:bottom w:val="single" w:sz="8" w:color="auto"/>
              <w:right w:val="single" w:sz="8" w:color="auto"/>
            </w:tcBorders>
          </w:tcPr>
          <w:p>
            <w:pPr>
              <w:spacing w:after="0"/>
              <w:rPr>
                <w:sz w:val="2"/>
                <w:szCs w:val="2"/>
                <w:color w:val="auto"/>
              </w:rPr>
            </w:pPr>
          </w:p>
        </w:tc>
      </w:tr>
      <w:tr>
        <w:trPr>
          <w:trHeight w:val="264"/>
        </w:trPr>
        <w:tc>
          <w:tcPr>
            <w:tcW w:w="4240" w:type="dxa"/>
            <w:vAlign w:val="bottom"/>
            <w:tcBorders>
              <w:bottom w:val="single" w:sz="8" w:color="auto"/>
            </w:tcBorders>
            <w:gridSpan w:val="2"/>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w w:val="96"/>
              </w:rPr>
              <w:t xml:space="preserve">Επιβαρύνσεις που εισπράττονται από την κατηγορία μετοχών υπό ορισμένες προϋποθέσεις</w:t>
            </w:r>
          </w:p>
        </w:tc>
        <w:tc>
          <w:tcPr>
            <w:tcW w:w="840" w:type="dxa"/>
            <w:vAlign w:val="bottom"/>
            <w:tcBorders>
              <w:bottom w:val="single" w:sz="8" w:color="auto"/>
              <w:right w:val="single" w:sz="8" w:color="auto"/>
            </w:tcBorders>
            <w:shd w:val="clear" w:color="auto" w:fill="000000"/>
          </w:tcPr>
          <w:p>
            <w:pPr>
              <w:spacing w:after="0"/>
              <w:rPr>
                <w:sz w:val="22"/>
                <w:szCs w:val="22"/>
                <w:color w:val="auto"/>
              </w:rPr>
            </w:pPr>
          </w:p>
        </w:tc>
      </w:tr>
      <w:tr>
        <w:trPr>
          <w:trHeight w:val="242"/>
        </w:trPr>
        <w:tc>
          <w:tcPr>
            <w:tcW w:w="3540" w:type="dxa"/>
            <w:vAlign w:val="bottom"/>
            <w:tcBorders>
              <w:bottom w:val="single" w:sz="8" w:color="auto"/>
            </w:tcBorders>
            <w:shd w:val="clear" w:color="auto" w:fill="000000"/>
          </w:tcPr>
          <w:p>
            <w:pPr xmlns:w="http://schemas.openxmlformats.org/wordprocessingml/2006/main">
              <w:ind w:left="60"/>
              <w:spacing w:after="0"/>
              <w:rPr>
                <w:sz w:val="20"/>
                <w:szCs w:val="20"/>
                <w:color w:val="auto"/>
              </w:rPr>
            </w:pPr>
            <w:r>
              <w:rPr xmlns:w="http://schemas.openxmlformats.org/wordprocessingml/2006/main">
                <w:rFonts w:ascii="Arial" w:cs="Arial" w:eastAsia="Arial" w:hAnsi="Arial"/>
                <w:sz w:val="16"/>
                <w:szCs w:val="16"/>
                <w:color w:val="FFFFFF"/>
              </w:rPr>
              <w:t xml:space="preserve">Χρέωση απόδοσης</w:t>
            </w:r>
          </w:p>
        </w:tc>
        <w:tc>
          <w:tcPr>
            <w:tcW w:w="700" w:type="dxa"/>
            <w:vAlign w:val="bottom"/>
            <w:tcBorders>
              <w:bottom w:val="single" w:sz="8" w:color="auto"/>
            </w:tcBorders>
          </w:tcPr>
          <w:p>
            <w:pPr>
              <w:spacing w:after="0"/>
              <w:rPr>
                <w:sz w:val="21"/>
                <w:szCs w:val="21"/>
                <w:color w:val="auto"/>
              </w:rPr>
            </w:pPr>
          </w:p>
        </w:tc>
        <w:tc>
          <w:tcPr>
            <w:tcW w:w="840" w:type="dxa"/>
            <w:vAlign w:val="bottom"/>
            <w:tcBorders>
              <w:bottom w:val="single" w:sz="8" w:color="auto"/>
              <w:right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auto"/>
              </w:rPr>
              <w:t xml:space="preserve">Κανένα</w:t>
            </w: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-358775</wp:posOffset>
            </wp:positionV>
            <wp:extent cx="3199130" cy="952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-165735</wp:posOffset>
            </wp:positionV>
            <wp:extent cx="3199130" cy="952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3199130" cy="9525"/>
                    </a:xfrm>
                    <a:prstGeom prst="rect">
                      <a:avLst/>
                    </a:prstGeom>
                    <a:noFill/>
                  </pic:spPr>
                </pic:pic>
              </a:graphicData>
            </a:graphic>
          </wp:anchor>
        </w:drawing>
        <w:drawing>
          <wp:anchor simplePos="0" relativeHeight="251657728" behindDoc="1" locked="0" layoutInCell="0" allowOverlap="1">
            <wp:simplePos x="0" y="0"/>
            <wp:positionH relativeFrom="column">
              <wp:posOffset>5715</wp:posOffset>
            </wp:positionH>
            <wp:positionV relativeFrom="paragraph">
              <wp:posOffset>-522605</wp:posOffset>
            </wp:positionV>
            <wp:extent cx="3199130" cy="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3199130" cy="9525"/>
                    </a:xfrm>
                    <a:prstGeom prst="rect">
                      <a:avLst/>
                    </a:prstGeom>
                    <a:noFill/>
                  </pic:spPr>
                </pic:pic>
              </a:graphicData>
            </a:graphic>
          </wp:anchor>
        </w:drawing>
      </w:r>
    </w:p>
    <w:p>
      <w:pPr>
        <w:spacing w:after="0" w:line="42" w:lineRule="exact"/>
        <w:rPr>
          <w:sz w:val="20"/>
          <w:szCs w:val="20"/>
          <w:color w:val="auto"/>
        </w:rPr>
      </w:pPr>
    </w:p>
    <w:p>
      <w:pPr>
        <w:sectPr>
          <w:pgSz w:w="11900" w:h="16838" w:orient="portrait"/>
          <w:cols w:equalWidth="0" w:num="2">
            <w:col w:w="5340" w:space="260"/>
            <w:col w:w="5060"/>
          </w:cols>
          <w:pgMar w:left="620" w:top="609" w:right="626" w:bottom="0" w:gutter="0" w:footer="0" w:header="0"/>
          <w:type w:val="continuous"/>
        </w:sect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22"/>
          <w:szCs w:val="22"/>
          <w:color w:val="auto"/>
        </w:rPr>
        <w:t xml:space="preserve">Προηγούμενη απόδοση</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52070</wp:posOffset>
            </wp:positionV>
            <wp:extent cx="6767830" cy="9525"/>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ectPr>
          <w:pgSz w:w="11900" w:h="16838" w:orient="portrait"/>
          <w:cols w:equalWidth="0" w:num="1">
            <w:col w:w="10660"/>
          </w:cols>
          <w:pgMar w:left="620" w:top="609" w:right="626" w:bottom="0" w:gutter="0" w:footer="0" w:header="0"/>
          <w:type w:val="continuous"/>
        </w:sectPr>
      </w:pPr>
    </w:p>
    <w:p>
      <w:pPr>
        <w:spacing w:after="0" w:line="112" w:lineRule="exact"/>
        <w:rPr>
          <w:sz w:val="20"/>
          <w:szCs w:val="20"/>
          <w:color w:val="auto"/>
        </w:rPr>
      </w:pPr>
    </w:p>
    <w:p>
      <w:pPr xmlns:w="http://schemas.openxmlformats.org/wordprocessingml/2006/main">
        <w:ind w:right="800"/>
        <w:spacing w:after="0" w:line="302" w:lineRule="auto"/>
        <w:rPr>
          <w:sz w:val="20"/>
          <w:szCs w:val="20"/>
          <w:color w:val="auto"/>
        </w:rPr>
      </w:pPr>
      <w:r>
        <w:rPr xmlns:w="http://schemas.openxmlformats.org/wordprocessingml/2006/main">
          <w:rFonts w:ascii="Arial" w:cs="Arial" w:eastAsia="Arial" w:hAnsi="Arial"/>
          <w:sz w:val="16"/>
          <w:szCs w:val="16"/>
          <w:color w:val="auto"/>
        </w:rPr>
        <w:t xml:space="preserve">Οι προηγούμενες επιδόσεις δεν αποτελούν οδηγό για τις μελλοντικές επιδόσεις.</w:t>
      </w:r>
    </w:p>
    <w:p>
      <w:pPr>
        <w:spacing w:after="0" w:line="1" w:lineRule="exact"/>
        <w:rPr>
          <w:sz w:val="20"/>
          <w:szCs w:val="20"/>
          <w:color w:val="auto"/>
        </w:rPr>
      </w:pPr>
    </w:p>
    <w:p>
      <w:pPr xmlns:w="http://schemas.openxmlformats.org/wordprocessingml/2006/main">
        <w:ind w:right="60"/>
        <w:spacing w:after="0" w:line="328" w:lineRule="auto"/>
        <w:rPr>
          <w:sz w:val="20"/>
          <w:szCs w:val="20"/>
          <w:color w:val="auto"/>
        </w:rPr>
      </w:pPr>
      <w:r>
        <w:rPr xmlns:w="http://schemas.openxmlformats.org/wordprocessingml/2006/main">
          <w:rFonts w:ascii="Arial" w:cs="Arial" w:eastAsia="Arial" w:hAnsi="Arial"/>
          <w:sz w:val="15"/>
          <w:szCs w:val="15"/>
          <w:color w:val="auto"/>
        </w:rPr>
        <w:t xml:space="preserve">Το διάγραμμα δείχνει την ετήσια απόδοση της κατηγορίας των μετοχών σε δολάρια ΗΠΑ για κάθε πλήρες ημερολογιακό έτος κατά τη διάρκεια της περιόδου που εμφανίζεται στο γράφημα.</w:t>
      </w:r>
      <w:r>
        <w:rPr xmlns:w="http://schemas.openxmlformats.org/wordprocessingml/2006/main">
          <w:rFonts w:ascii="Arial" w:cs="Arial" w:eastAsia="Arial" w:hAnsi="Arial"/>
          <w:sz w:val="15"/>
          <w:szCs w:val="15"/>
          <w:color w:val="auto"/>
        </w:rPr>
        <w:t xml:space="preserve"> Εκφράζεται ως ποσοστιαία μεταβολή της καθαρής αξίας του ενεργητικού της Κατηγορίας Μετοχών στο τέλος κάθε έτους.</w:t>
      </w:r>
      <w:r>
        <w:rPr xmlns:w="http://schemas.openxmlformats.org/wordprocessingml/2006/main">
          <w:rFonts w:ascii="Arial" w:cs="Arial" w:eastAsia="Arial" w:hAnsi="Arial"/>
          <w:sz w:val="15"/>
          <w:szCs w:val="15"/>
          <w:color w:val="auto"/>
        </w:rPr>
        <w:t xml:space="preserve"> Το Ταμείο εγκαινιάστηκε το 2016.</w:t>
      </w:r>
      <w:r>
        <w:rPr xmlns:w="http://schemas.openxmlformats.org/wordprocessingml/2006/main">
          <w:rFonts w:ascii="Arial" w:cs="Arial" w:eastAsia="Arial" w:hAnsi="Arial"/>
          <w:sz w:val="15"/>
          <w:szCs w:val="15"/>
          <w:color w:val="auto"/>
        </w:rPr>
        <w:t xml:space="preserve"> Η Share Class ξεκίνησε το 2016.</w:t>
      </w:r>
      <w:r>
        <w:rPr xmlns:w="http://schemas.openxmlformats.org/wordprocessingml/2006/main">
          <w:rFonts w:ascii="Arial" w:cs="Arial" w:eastAsia="Arial" w:hAnsi="Arial"/>
          <w:sz w:val="15"/>
          <w:szCs w:val="15"/>
          <w:color w:val="auto"/>
        </w:rPr>
        <w:t xml:space="preserve"> Η απόδοση εμφανίζεται μετά την αφαίρεση των τρεχουσών χρεώσεων.</w:t>
      </w:r>
      <w:r>
        <w:rPr xmlns:w="http://schemas.openxmlformats.org/wordprocessingml/2006/main">
          <w:rFonts w:ascii="Arial" w:cs="Arial" w:eastAsia="Arial" w:hAnsi="Arial"/>
          <w:sz w:val="15"/>
          <w:szCs w:val="15"/>
          <w:color w:val="auto"/>
        </w:rPr>
        <w:t xml:space="preserve"> Τυχόν τέλη εισόδου/εξόδου εξαιρούνται από τον υπολογισμό.</w:t>
      </w:r>
    </w:p>
    <w:p>
      <w:pPr>
        <w:spacing w:after="0" w:line="6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3"/>
          <w:szCs w:val="13"/>
          <w:color w:val="auto"/>
        </w:rPr>
        <w:t xml:space="preserve">† Σημείο αναφοράς: Παγκόσμιος δείκτης ψηφιοποίησης STOXX (USD)</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92" w:lineRule="exact"/>
        <w:rPr>
          <w:sz w:val="20"/>
          <w:szCs w:val="20"/>
          <w:color w:val="auto"/>
        </w:rPr>
      </w:pPr>
    </w:p>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Ιστορική επίδοση έως τις 31 Δεκεμβρίου 2023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487680</wp:posOffset>
            </wp:positionH>
            <wp:positionV relativeFrom="paragraph">
              <wp:posOffset>20955</wp:posOffset>
            </wp:positionV>
            <wp:extent cx="3977640" cy="155448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3977640" cy="155448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3" w:lineRule="exact"/>
        <w:rPr>
          <w:sz w:val="20"/>
          <w:szCs w:val="20"/>
          <w:color w:val="auto"/>
        </w:rPr>
      </w:pPr>
    </w:p>
    <w:tbl>
      <w:tblPr>
        <w:tblLayout w:type="fixed"/>
        <w:tblInd w:w="0" w:type="dxa"/>
        <w:tblCellMar>
          <w:top w:w="0" w:type="dxa"/>
          <w:left w:w="0" w:type="dxa"/>
          <w:bottom w:w="0" w:type="dxa"/>
          <w:right w:w="0" w:type="dxa"/>
        </w:tblCellMar>
      </w:tblPr>
      <w:tr>
        <w:trPr>
          <w:trHeight w:val="228"/>
        </w:trPr>
        <w:tc>
          <w:tcPr>
            <w:tcW w:w="1260" w:type="dxa"/>
            <w:vAlign w:val="bottom"/>
            <w:tcBorders>
              <w:bottom w:val="single" w:sz="8" w:color="808080"/>
              <w:right w:val="single" w:sz="8" w:color="808080"/>
            </w:tcBorders>
            <w:gridSpan w:val="2"/>
          </w:tcPr>
          <w:p>
            <w:pPr>
              <w:spacing w:after="0"/>
              <w:rPr>
                <w:sz w:val="19"/>
                <w:szCs w:val="19"/>
                <w:color w:val="auto"/>
              </w:rPr>
            </w:pP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2014</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2015</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2016</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2017</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2018</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2019</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2020</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2021</w:t>
            </w:r>
          </w:p>
        </w:tc>
        <w:tc>
          <w:tcPr>
            <w:tcW w:w="580" w:type="dxa"/>
            <w:vAlign w:val="bottom"/>
            <w:tcBorders>
              <w:bottom w:val="single" w:sz="8" w:color="808080"/>
              <w:right w:val="single" w:sz="8" w:color="808080"/>
            </w:tcBorders>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2022</w:t>
            </w:r>
          </w:p>
        </w:tc>
        <w:tc>
          <w:tcPr>
            <w:tcW w:w="580" w:type="dxa"/>
            <w:vAlign w:val="bottom"/>
            <w:tcBorders>
              <w:bottom w:val="single" w:sz="8" w:color="808080"/>
            </w:tcBorders>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2023</w:t>
            </w:r>
          </w:p>
        </w:tc>
        <w:tc>
          <w:tcPr>
            <w:tcW w:w="0" w:type="dxa"/>
            <w:vAlign w:val="bottom"/>
          </w:tcPr>
          <w:p>
            <w:pPr>
              <w:spacing w:after="0"/>
              <w:rPr>
                <w:sz w:val="1"/>
                <w:szCs w:val="1"/>
                <w:color w:val="auto"/>
              </w:rPr>
            </w:pPr>
          </w:p>
        </w:tc>
      </w:tr>
      <w:tr>
        <w:trPr>
          <w:trHeight w:val="163"/>
        </w:trPr>
        <w:tc>
          <w:tcPr>
            <w:tcW w:w="140" w:type="dxa"/>
            <w:vAlign w:val="bottom"/>
            <w:shd w:val="clear" w:color="auto" w:fill="FF4713"/>
          </w:tcPr>
          <w:p>
            <w:pPr>
              <w:spacing w:after="0"/>
              <w:rPr>
                <w:sz w:val="14"/>
                <w:szCs w:val="14"/>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Ταμείο</w:t>
            </w: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tcPr>
          <w:p>
            <w:pPr>
              <w:spacing w:after="0"/>
              <w:rPr>
                <w:sz w:val="14"/>
                <w:szCs w:val="14"/>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27,8</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-4,4</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25,5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41,2</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0,6</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-35,9</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31,5</w:t>
            </w:r>
          </w:p>
        </w:tc>
        <w:tc>
          <w:tcPr>
            <w:tcW w:w="0" w:type="dxa"/>
            <w:vAlign w:val="bottom"/>
          </w:tcPr>
          <w:p>
            <w:pPr>
              <w:spacing w:after="0"/>
              <w:rPr>
                <w:sz w:val="1"/>
                <w:szCs w:val="1"/>
                <w:color w:val="auto"/>
              </w:rPr>
            </w:pPr>
          </w:p>
        </w:tc>
      </w:tr>
      <w:tr>
        <w:trPr>
          <w:trHeight w:val="63"/>
        </w:trPr>
        <w:tc>
          <w:tcPr>
            <w:tcW w:w="140" w:type="dxa"/>
            <w:vAlign w:val="bottom"/>
            <w:tcBorders>
              <w:bottom w:val="single" w:sz="8" w:color="808080"/>
            </w:tcBorders>
          </w:tcPr>
          <w:p>
            <w:pPr>
              <w:spacing w:after="0"/>
              <w:rPr>
                <w:sz w:val="5"/>
                <w:szCs w:val="5"/>
                <w:color w:val="auto"/>
              </w:rPr>
            </w:pPr>
          </w:p>
        </w:tc>
        <w:tc>
          <w:tcPr>
            <w:tcW w:w="112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right w:val="single" w:sz="8" w:color="808080"/>
            </w:tcBorders>
            <w:vMerge w:val="continue"/>
          </w:tcPr>
          <w:p>
            <w:pPr>
              <w:spacing w:after="0"/>
              <w:rPr>
                <w:sz w:val="5"/>
                <w:szCs w:val="5"/>
                <w:color w:val="auto"/>
              </w:rPr>
            </w:pPr>
          </w:p>
        </w:tc>
        <w:tc>
          <w:tcPr>
            <w:tcW w:w="580" w:type="dxa"/>
            <w:vAlign w:val="bottom"/>
            <w:tcBorders>
              <w:bottom w:val="single" w:sz="8" w:color="808080"/>
            </w:tcBorders>
            <w:vMerge w:val="continue"/>
          </w:tcPr>
          <w:p>
            <w:pPr>
              <w:spacing w:after="0"/>
              <w:rPr>
                <w:sz w:val="5"/>
                <w:szCs w:val="5"/>
                <w:color w:val="auto"/>
              </w:rPr>
            </w:pPr>
          </w:p>
        </w:tc>
        <w:tc>
          <w:tcPr>
            <w:tcW w:w="0" w:type="dxa"/>
            <w:vAlign w:val="bottom"/>
          </w:tcPr>
          <w:p>
            <w:pPr>
              <w:spacing w:after="0"/>
              <w:rPr>
                <w:sz w:val="1"/>
                <w:szCs w:val="1"/>
                <w:color w:val="auto"/>
              </w:rPr>
            </w:pPr>
          </w:p>
        </w:tc>
      </w:tr>
      <w:tr>
        <w:trPr>
          <w:trHeight w:val="20"/>
        </w:trPr>
        <w:tc>
          <w:tcPr>
            <w:tcW w:w="140" w:type="dxa"/>
            <w:vAlign w:val="bottom"/>
          </w:tcPr>
          <w:p>
            <w:pPr>
              <w:spacing w:after="0" w:line="20" w:lineRule="exact"/>
              <w:rPr>
                <w:sz w:val="1"/>
                <w:szCs w:val="1"/>
                <w:color w:val="auto"/>
              </w:rPr>
            </w:pPr>
          </w:p>
        </w:tc>
        <w:tc>
          <w:tcPr>
            <w:tcW w:w="1120" w:type="dxa"/>
            <w:vAlign w:val="bottom"/>
            <w:tcBorders>
              <w:right w:val="single" w:sz="8" w:color="808080"/>
            </w:tcBorders>
            <w:vMerge w:val="restart"/>
          </w:tcPr>
          <w:p>
            <w:pPr xmlns:w="http://schemas.openxmlformats.org/wordprocessingml/2006/main">
              <w:ind w:left="20"/>
              <w:spacing w:after="0"/>
              <w:rPr>
                <w:sz w:val="20"/>
                <w:szCs w:val="20"/>
                <w:color w:val="auto"/>
              </w:rPr>
            </w:pPr>
            <w:r>
              <w:rPr xmlns:w="http://schemas.openxmlformats.org/wordprocessingml/2006/main">
                <w:rFonts w:ascii="Arial" w:cs="Arial" w:eastAsia="Arial" w:hAnsi="Arial"/>
                <w:sz w:val="16"/>
                <w:szCs w:val="16"/>
                <w:color w:val="auto"/>
              </w:rPr>
              <w:t xml:space="preserve">Σημείο αναφοράς †</w:t>
            </w:r>
          </w:p>
        </w:tc>
        <w:tc>
          <w:tcPr>
            <w:tcW w:w="580" w:type="dxa"/>
            <w:vAlign w:val="bottom"/>
            <w:tcBorders>
              <w:right w:val="single" w:sz="8" w:color="808080"/>
            </w:tcBorders>
            <w:vMerge w:val="restart"/>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tcPr>
          <w:p>
            <w:pPr>
              <w:spacing w:after="0" w:line="20" w:lineRule="exact"/>
              <w:rPr>
                <w:sz w:val="1"/>
                <w:szCs w:val="1"/>
                <w:color w:val="auto"/>
              </w:rPr>
            </w:pP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27,9</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-4,1</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25,7</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42,5</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0,9</w:t>
            </w:r>
          </w:p>
        </w:tc>
        <w:tc>
          <w:tcPr>
            <w:tcW w:w="580" w:type="dxa"/>
            <w:vAlign w:val="bottom"/>
            <w:tcBorders>
              <w:right w:val="single" w:sz="8" w:color="808080"/>
            </w:tcBorders>
            <w:vMerge w:val="restart"/>
          </w:tcPr>
          <w:p>
            <w:pPr xmlns:w="http://schemas.openxmlformats.org/wordprocessingml/2006/main">
              <w:jc w:val="right"/>
              <w:ind w:right="40"/>
              <w:spacing w:after="0"/>
              <w:rPr>
                <w:sz w:val="20"/>
                <w:szCs w:val="20"/>
                <w:color w:val="auto"/>
              </w:rPr>
            </w:pPr>
            <w:r>
              <w:rPr xmlns:w="http://schemas.openxmlformats.org/wordprocessingml/2006/main">
                <w:rFonts w:ascii="Arial" w:cs="Arial" w:eastAsia="Arial" w:hAnsi="Arial"/>
                <w:sz w:val="16"/>
                <w:szCs w:val="16"/>
                <w:color w:val="auto"/>
              </w:rPr>
              <w:t xml:space="preserve">-35,8</w:t>
            </w:r>
          </w:p>
        </w:tc>
        <w:tc>
          <w:tcPr>
            <w:tcW w:w="580" w:type="dxa"/>
            <w:vAlign w:val="bottom"/>
            <w:vMerge w:val="restart"/>
          </w:tcPr>
          <w:p>
            <w:pPr xmlns:w="http://schemas.openxmlformats.org/wordprocessingml/2006/main">
              <w:jc w:val="right"/>
              <w:ind w:right="20"/>
              <w:spacing w:after="0"/>
              <w:rPr>
                <w:sz w:val="20"/>
                <w:szCs w:val="20"/>
                <w:color w:val="auto"/>
              </w:rPr>
            </w:pPr>
            <w:r>
              <w:rPr xmlns:w="http://schemas.openxmlformats.org/wordprocessingml/2006/main">
                <w:rFonts w:ascii="Arial" w:cs="Arial" w:eastAsia="Arial" w:hAnsi="Arial"/>
                <w:sz w:val="16"/>
                <w:szCs w:val="16"/>
                <w:color w:val="auto"/>
              </w:rPr>
              <w:t xml:space="preserve">31,0</w:t>
            </w:r>
          </w:p>
        </w:tc>
        <w:tc>
          <w:tcPr>
            <w:tcW w:w="0" w:type="dxa"/>
            <w:vAlign w:val="bottom"/>
          </w:tcPr>
          <w:p>
            <w:pPr>
              <w:spacing w:after="0" w:line="20" w:lineRule="exact"/>
              <w:rPr>
                <w:sz w:val="1"/>
                <w:szCs w:val="1"/>
                <w:color w:val="auto"/>
              </w:rPr>
            </w:pPr>
          </w:p>
        </w:tc>
      </w:tr>
      <w:tr>
        <w:trPr>
          <w:trHeight w:val="144"/>
        </w:trPr>
        <w:tc>
          <w:tcPr>
            <w:tcW w:w="140" w:type="dxa"/>
            <w:vAlign w:val="bottom"/>
            <w:shd w:val="clear" w:color="auto" w:fill="FFCE00"/>
          </w:tcPr>
          <w:p>
            <w:pPr>
              <w:spacing w:after="0"/>
              <w:rPr>
                <w:sz w:val="12"/>
                <w:szCs w:val="12"/>
                <w:color w:val="auto"/>
              </w:rPr>
            </w:pPr>
          </w:p>
        </w:tc>
        <w:tc>
          <w:tcPr>
            <w:tcW w:w="112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tcBorders>
              <w:right w:val="single" w:sz="8" w:color="808080"/>
            </w:tcBorders>
            <w:vMerge w:val="continue"/>
          </w:tcPr>
          <w:p>
            <w:pPr>
              <w:spacing w:after="0"/>
              <w:rPr>
                <w:sz w:val="12"/>
                <w:szCs w:val="12"/>
                <w:color w:val="auto"/>
              </w:rPr>
            </w:pPr>
          </w:p>
        </w:tc>
        <w:tc>
          <w:tcPr>
            <w:tcW w:w="58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68"/>
        </w:trPr>
        <w:tc>
          <w:tcPr>
            <w:tcW w:w="140" w:type="dxa"/>
            <w:vAlign w:val="bottom"/>
          </w:tcPr>
          <w:p>
            <w:pPr>
              <w:spacing w:after="0"/>
              <w:rPr>
                <w:sz w:val="5"/>
                <w:szCs w:val="5"/>
                <w:color w:val="auto"/>
              </w:rPr>
            </w:pPr>
          </w:p>
        </w:tc>
        <w:tc>
          <w:tcPr>
            <w:tcW w:w="112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tcBorders>
              <w:right w:val="single" w:sz="8" w:color="808080"/>
            </w:tcBorders>
            <w:vMerge w:val="continue"/>
          </w:tcPr>
          <w:p>
            <w:pPr>
              <w:spacing w:after="0"/>
              <w:rPr>
                <w:sz w:val="5"/>
                <w:szCs w:val="5"/>
                <w:color w:val="auto"/>
              </w:rPr>
            </w:pPr>
          </w:p>
        </w:tc>
        <w:tc>
          <w:tcPr>
            <w:tcW w:w="580" w:type="dxa"/>
            <w:vAlign w:val="bottom"/>
            <w:vMerge w:val="continue"/>
          </w:tcPr>
          <w:p>
            <w:pPr>
              <w:spacing w:after="0"/>
              <w:rPr>
                <w:sz w:val="5"/>
                <w:szCs w:val="5"/>
                <w:color w:val="auto"/>
              </w:rPr>
            </w:pPr>
          </w:p>
        </w:tc>
        <w:tc>
          <w:tcPr>
            <w:tcW w:w="0" w:type="dxa"/>
            <w:vAlign w:val="bottom"/>
          </w:tcPr>
          <w:p>
            <w:pPr>
              <w:spacing w:after="0"/>
              <w:rPr>
                <w:sz w:val="1"/>
                <w:szCs w:val="1"/>
                <w:color w:val="auto"/>
              </w:rPr>
            </w:pPr>
          </w:p>
        </w:tc>
      </w:tr>
    </w:tbl>
    <w:p>
      <w:pPr>
        <w:spacing w:after="0" w:line="42" w:lineRule="exact"/>
        <w:rPr>
          <w:sz w:val="20"/>
          <w:szCs w:val="20"/>
          <w:color w:val="auto"/>
        </w:rPr>
      </w:pPr>
    </w:p>
    <w:p>
      <w:pPr>
        <w:sectPr>
          <w:pgSz w:w="11900" w:h="16838" w:orient="portrait"/>
          <w:cols w:equalWidth="0" w:num="2">
            <w:col w:w="3380" w:space="220"/>
            <w:col w:w="7060"/>
          </w:cols>
          <w:pgMar w:left="620" w:top="609" w:right="626" w:bottom="0" w:gutter="0" w:footer="0" w:header="0"/>
          <w:type w:val="continuous"/>
        </w:sectPr>
      </w:pPr>
    </w:p>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26"/>
          <w:szCs w:val="26"/>
          <w:color w:val="auto"/>
        </w:rPr>
        <w:t xml:space="preserve">Πρακτικές πληροφορίες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22860</wp:posOffset>
            </wp:positionV>
            <wp:extent cx="6767830" cy="952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6767830" cy="9525"/>
                    </a:xfrm>
                    <a:prstGeom prst="rect">
                      <a:avLst/>
                    </a:prstGeom>
                    <a:noFill/>
                  </pic:spPr>
                </pic:pic>
              </a:graphicData>
            </a:graphic>
          </wp:anchor>
        </w:drawing>
      </w:r>
    </w:p>
    <w:p>
      <w:pPr>
        <w:spacing w:after="0" w:line="46"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Ο θεματοφύλακας του Ταμείου είναι η State Street Custodial Services (Ireland) Limited.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160"/>
        <w:spacing w:after="0" w:line="345" w:lineRule="auto"/>
        <w:rPr>
          <w:sz w:val="20"/>
          <w:szCs w:val="20"/>
          <w:color w:val="auto"/>
        </w:rPr>
      </w:pPr>
      <w:r>
        <w:rPr xmlns:w="http://schemas.openxmlformats.org/wordprocessingml/2006/main">
          <w:rFonts w:ascii="Arial" w:cs="Arial" w:eastAsia="Arial" w:hAnsi="Arial"/>
          <w:sz w:val="14"/>
          <w:szCs w:val="14"/>
          <w:color w:val="auto"/>
        </w:rPr>
        <w:t xml:space="preserve">Περισσότερες πληροφορίες σχετικά με το Ταμείο και την Κατηγορία Μετοχών διατίθενται από την τελευταία ετήσια έκθεση και τις εξαμηνιαίες εκθέσεις της iShares IV plc.</w:t>
      </w:r>
      <w:r>
        <w:rPr xmlns:w="http://schemas.openxmlformats.org/wordprocessingml/2006/main">
          <w:rFonts w:ascii="Arial" w:cs="Arial" w:eastAsia="Arial" w:hAnsi="Arial"/>
          <w:sz w:val="14"/>
          <w:szCs w:val="14"/>
          <w:color w:val="auto"/>
        </w:rPr>
        <w:t xml:space="preserve"> Τα έγγραφα αυτά διατίθενται δωρεάν στα αγγλικά και σε ορισμένες άλλες γλώσσες.</w:t>
      </w:r>
      <w:r>
        <w:rPr xmlns:w="http://schemas.openxmlformats.org/wordprocessingml/2006/main">
          <w:rFonts w:ascii="Arial" w:cs="Arial" w:eastAsia="Arial" w:hAnsi="Arial"/>
          <w:sz w:val="14"/>
          <w:szCs w:val="14"/>
          <w:color w:val="auto"/>
        </w:rPr>
        <w:t xml:space="preserve"> Αυτά μπορούν να βρεθούν, μαζί με άλλες πληροφορίες, όπως λεπτομέρειες των βασικών υποκείμενων επενδύσεων της Κατηγορίας Μετοχών και των τιμών των μετοχών, στον ιστότοπο iShares στο www.ishares.com ή καλώντας το +44 (0)845 357 7000 ή από τον μεσίτη ή τον οικονομικό σύμβουλό σας.</w:t>
      </w:r>
      <w:r>
        <w:rPr xmlns:w="http://schemas.openxmlformats.org/wordprocessingml/2006/main">
          <w:rFonts w:ascii="Arial" w:cs="Arial" w:eastAsia="Arial" w:hAnsi="Arial"/>
          <w:sz w:val="14"/>
          <w:szCs w:val="14"/>
          <w:color w:val="auto"/>
        </w:rPr>
        <w:t xml:space="preserve"> Οι επενδυτές θα πρέπει να σημειώσουν ότι η φορολογική νομοθεσία που ισχύει για το Ταμείο και την Κατηγορία Μετοχών μπορεί να έχει αντίκτυπο στην προσωπική φορολογική θέση της επένδυσής σας.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-537210</wp:posOffset>
            </wp:positionV>
            <wp:extent cx="45720" cy="7747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45720" cy="7747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-95250</wp:posOffset>
            </wp:positionV>
            <wp:extent cx="45720" cy="7747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Το Ταμείο είναι ένα επιμέρους κεφάλαιο της iShares IV plc, μια δομή ομπρέλα που περιλαμβάνει διάφορα επιμέρους κεφάλαια.</w:t>
      </w:r>
      <w:r>
        <w:rPr xmlns:w="http://schemas.openxmlformats.org/wordprocessingml/2006/main">
          <w:rFonts w:ascii="Arial" w:cs="Arial" w:eastAsia="Arial" w:hAnsi="Arial"/>
          <w:sz w:val="14"/>
          <w:szCs w:val="14"/>
          <w:color w:val="auto"/>
        </w:rPr>
        <w:t xml:space="preserve"> Το Ταμείο έχει μία ή περισσότερες κατηγορίες μετοχών.</w:t>
      </w:r>
      <w:r>
        <w:rPr xmlns:w="http://schemas.openxmlformats.org/wordprocessingml/2006/main">
          <w:rFonts w:ascii="Arial" w:cs="Arial" w:eastAsia="Arial" w:hAnsi="Arial"/>
          <w:sz w:val="14"/>
          <w:szCs w:val="14"/>
          <w:color w:val="auto"/>
        </w:rPr>
        <w:t xml:space="preserve"> Αυτό το έγγραφο αφορά</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5"/>
          <w:szCs w:val="15"/>
          <w:color w:val="auto"/>
        </w:rPr>
        <w:t xml:space="preserve">την κατηγορία Ταμείο και Μετοχή που αναφέρεται στην αρχή του παρόντος εγγράφου.</w:t>
      </w:r>
      <w:r>
        <w:rPr xmlns:w="http://schemas.openxmlformats.org/wordprocessingml/2006/main">
          <w:rFonts w:ascii="Arial" w:cs="Arial" w:eastAsia="Arial" w:hAnsi="Arial"/>
          <w:sz w:val="15"/>
          <w:szCs w:val="15"/>
          <w:color w:val="auto"/>
        </w:rPr>
        <w:t xml:space="preserve"> Ωστόσο, το ενημερωτικό δελτίο, οι ετήσιες και οι εξαμηνιαίες εκθέσεις συντάσσονται για το γενικό πλαίσιο.</w:t>
      </w:r>
    </w:p>
    <w:p>
      <w:pPr>
        <w:spacing w:after="0" w:line="59"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4"/>
          <w:szCs w:val="14"/>
          <w:color w:val="auto"/>
        </w:rPr>
        <w:t xml:space="preserve">Η iShares IV plc μπορεί να θεωρηθεί υπεύθυνη μόνο βάσει παραπλανητικής, ανακριβούς ή ασυνεπούς δηλώσεως που περιέχεται στο παρόν έγγραφο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-51435</wp:posOffset>
            </wp:positionV>
            <wp:extent cx="45720" cy="7747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51"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του ενημερωτικού δελτίου του ταμείου.</w:t>
      </w:r>
    </w:p>
    <w:p>
      <w:pPr>
        <w:spacing w:after="0" w:line="48" w:lineRule="exact"/>
        <w:rPr>
          <w:sz w:val="20"/>
          <w:szCs w:val="20"/>
          <w:color w:val="auto"/>
        </w:rPr>
      </w:pPr>
    </w:p>
    <w:p>
      <w:pPr xmlns:w="http://schemas.openxmlformats.org/wordprocessingml/2006/main">
        <w:ind w:left="160"/>
        <w:spacing w:after="0"/>
        <w:rPr>
          <w:sz w:val="20"/>
          <w:szCs w:val="20"/>
          <w:color w:val="auto"/>
        </w:rPr>
      </w:pPr>
      <w:r>
        <w:rPr xmlns:w="http://schemas.openxmlformats.org/wordprocessingml/2006/main">
          <w:rFonts w:ascii="Arial" w:cs="Arial" w:eastAsia="Arial" w:hAnsi="Arial"/>
          <w:sz w:val="16"/>
          <w:szCs w:val="16"/>
          <w:color w:val="auto"/>
        </w:rPr>
        <w:t xml:space="preserve">Η ενδεικτική ενδοημερήσια καθαρή αξία ενεργητικού της κατηγορίας μετοχών δημοσιεύεται στους σχετικούς δικτυακούς τόπους χρηματιστηρίων.</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-66040</wp:posOffset>
            </wp:positionV>
            <wp:extent cx="45720" cy="7747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8" w:lineRule="exact"/>
        <w:rPr>
          <w:sz w:val="20"/>
          <w:szCs w:val="20"/>
          <w:color w:val="auto"/>
        </w:rPr>
      </w:pPr>
    </w:p>
    <w:p>
      <w:pPr xmlns:w="http://schemas.openxmlformats.org/wordprocessingml/2006/main">
        <w:ind w:left="160" w:right="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Σύμφωνα με το ιρλανδικό δίκαιο, η iShares IV plc έχει χωριστή υποχρέωση μεταξύ των επιμέρους ταμείων της (δηλαδή τα στοιχεία ενεργητικού του Ταμείου δεν θα χρησιμοποιηθούν για την εκπλήρωση των υποχρεώσεων άλλων επιμέρους ταμείων εντός της iShares IV plc).</w:t>
      </w:r>
      <w:r>
        <w:rPr xmlns:w="http://schemas.openxmlformats.org/wordprocessingml/2006/main">
          <w:rFonts w:ascii="Arial" w:cs="Arial" w:eastAsia="Arial" w:hAnsi="Arial"/>
          <w:sz w:val="15"/>
          <w:szCs w:val="15"/>
          <w:color w:val="auto"/>
        </w:rPr>
        <w:t xml:space="preserve"> </w:t>
      </w:r>
      <w:r>
        <w:rPr xmlns:w="http://schemas.openxmlformats.org/wordprocessingml/2006/main">
          <w:rFonts w:ascii="Arial" w:cs="Arial" w:eastAsia="Arial" w:hAnsi="Arial"/>
          <w:sz w:val="15"/>
          <w:szCs w:val="15"/>
          <w:color w:val="auto"/>
        </w:rPr>
        <w:t xml:space="preserve">Επιπλέον, τα στοιχεία του ενεργητικού του Ταμείου τηρούνται χωριστά από τα στοιχεία του ενεργητικού των λοιπών επιμέρους ταμείων.</w:t>
      </w:r>
      <w:r>
        <w:rPr xmlns:w="http://schemas.openxmlformats.org/wordprocessingml/2006/main">
          <w:rFonts w:ascii="Arial" w:cs="Arial" w:eastAsia="Arial" w:hAnsi="Arial"/>
          <w:sz w:val="15"/>
          <w:szCs w:val="15"/>
          <w:color w:val="auto"/>
        </w:rPr>
        <w:t xml:space="preserve"> Τα περιουσιακά στοιχεία και οι υποχρεώσεις που αφορούν συγκεκριμένη κατηγορία μετοχών θα μπορούσαν να αποδοθούν μόνο σε αυτήν την κατηγορία μετοχών, ωστόσο δεν υπάρχει διαχωρισμός των υποχρεώσεων μεταξύ κατηγοριών μετοχών σύμφωνα με το ιρλανδικό δίκαιο.</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-389890</wp:posOffset>
            </wp:positionV>
            <wp:extent cx="45720" cy="7747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51">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380"/>
        <w:spacing w:after="0" w:line="322" w:lineRule="auto"/>
        <w:rPr>
          <w:sz w:val="20"/>
          <w:szCs w:val="20"/>
          <w:color w:val="auto"/>
        </w:rPr>
      </w:pPr>
      <w:r>
        <w:rPr xmlns:w="http://schemas.openxmlformats.org/wordprocessingml/2006/main">
          <w:rFonts w:ascii="Arial" w:cs="Arial" w:eastAsia="Arial" w:hAnsi="Arial"/>
          <w:sz w:val="15"/>
          <w:szCs w:val="15"/>
          <w:color w:val="auto"/>
        </w:rPr>
        <w:t xml:space="preserve">Η μεταβίβαση μετοχών μεταξύ του Ταμείου και άλλων υποκεφαλαίων στο πλαίσιο της iShares IV plc δεν είναι διαθέσιμη στους επενδυτές.</w:t>
      </w:r>
      <w:r>
        <w:rPr xmlns:w="http://schemas.openxmlformats.org/wordprocessingml/2006/main">
          <w:rFonts w:ascii="Arial" w:cs="Arial" w:eastAsia="Arial" w:hAnsi="Arial"/>
          <w:sz w:val="15"/>
          <w:szCs w:val="15"/>
          <w:color w:val="auto"/>
        </w:rPr>
        <w:t xml:space="preserve"> Μόνο οι Εξουσιοδοτημένοι Συμμετέχοντες που συναλλάσσονται απευθείας με το Ταμείο μπορούν να αλλάζουν μετοχές μεταξύ κατηγοριών μετοχών του Ταμείου, υπό τον όρο ότι πληρούν ορισμένους όρους στο ενημερωτικό δελτίο του Ταμείου.</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-243205</wp:posOffset>
            </wp:positionV>
            <wp:extent cx="45720" cy="7747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2">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xmlns:w="http://schemas.openxmlformats.org/wordprocessingml/2006/main">
        <w:ind w:left="160" w:right="100"/>
        <w:spacing w:after="0" w:line="366" w:lineRule="auto"/>
        <w:rPr>
          <w:sz w:val="20"/>
          <w:szCs w:val="20"/>
          <w:color w:val="auto"/>
        </w:rPr>
      </w:pPr>
      <w:r>
        <w:rPr xmlns:w="http://schemas.openxmlformats.org/wordprocessingml/2006/main">
          <w:rFonts w:ascii="Arial" w:cs="Arial" w:eastAsia="Arial" w:hAnsi="Arial"/>
          <w:sz w:val="15"/>
          <w:szCs w:val="15"/>
          <w:color w:val="auto"/>
        </w:rPr>
        <w:t xml:space="preserve">Η Πολιτική Αποδοχών της Εταιρείας Διαχείρισης, η οποία περιγράφει τον τρόπο καθορισμού και χορήγησης των αποδοχών και των παροχών, καθώς και οι συναφείς ρυθμίσεις διακυβέρνησης, είναι διαθέσιμη στη διεύθυνση www.blackrock.com/Remunerationpolicy ή κατόπιν αιτήματος από την καταστατική έδρα της Εταιρείας Διαχείρισης.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5673090</wp:posOffset>
            </wp:positionH>
            <wp:positionV relativeFrom="paragraph">
              <wp:posOffset>1846580</wp:posOffset>
            </wp:positionV>
            <wp:extent cx="1097280" cy="4572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3">
                      <a:extLst>
                        <a:ext uri="{28A0092B-C50C-407E-A947-70E740481C1C}"/>
                      </a:extLst>
                    </a:blip>
                    <a:srcRect/>
                    <a:stretch>
                      <a:fillRect/>
                    </a:stretch>
                  </pic:blipFill>
                  <pic:spPr bwMode="auto">
                    <a:xfrm>
                      <a:off x="0" y="0"/>
                      <a:ext cx="1097280" cy="457200"/>
                    </a:xfrm>
                    <a:prstGeom prst="rect">
                      <a:avLst/>
                    </a:prstGeom>
                    <a:noFill/>
                  </pic:spPr>
                </pic:pic>
              </a:graphicData>
            </a:graphic>
          </wp:anchor>
        </w:drawing>
        <w:drawing>
          <wp:anchor simplePos="0" relativeHeight="251657728" behindDoc="1" locked="0" layoutInCell="0" allowOverlap="1">
            <wp:simplePos x="0" y="0"/>
            <wp:positionH relativeFrom="column">
              <wp:posOffset>2540</wp:posOffset>
            </wp:positionH>
            <wp:positionV relativeFrom="paragraph">
              <wp:posOffset>-283210</wp:posOffset>
            </wp:positionV>
            <wp:extent cx="45720" cy="7747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4">
                      <a:extLst>
                        <a:ext uri="{28A0092B-C50C-407E-A947-70E740481C1C}"/>
                      </a:extLst>
                    </a:blip>
                    <a:srcRect/>
                    <a:stretch>
                      <a:fillRect/>
                    </a:stretch>
                  </pic:blipFill>
                  <pic:spPr bwMode="auto">
                    <a:xfrm>
                      <a:off x="0" y="0"/>
                      <a:ext cx="45720" cy="7747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02" w:lineRule="exact"/>
        <w:rPr>
          <w:sz w:val="20"/>
          <w:szCs w:val="20"/>
          <w:color w:val="auto"/>
        </w:rPr>
      </w:pPr>
    </w:p>
    <w:p>
      <w:pPr xmlns:w="http://schemas.openxmlformats.org/wordprocessingml/2006/main">
        <w:ind w:right="2740"/>
        <w:spacing w:after="0" w:line="325" w:lineRule="auto"/>
        <w:rPr>
          <w:sz w:val="20"/>
          <w:szCs w:val="20"/>
          <w:color w:val="auto"/>
        </w:rPr>
      </w:pPr>
      <w:r>
        <w:rPr xmlns:w="http://schemas.openxmlformats.org/wordprocessingml/2006/main">
          <w:rFonts w:ascii="Arial" w:cs="Arial" w:eastAsia="Arial" w:hAnsi="Arial"/>
          <w:sz w:val="14"/>
          <w:szCs w:val="14"/>
          <w:color w:val="auto"/>
        </w:rPr>
        <w:t xml:space="preserve">Το εν λόγω ταμείο και ο διαχειριστής του, BlackRock Asset Management Ireland Limited, έχουν λάβει άδεια λειτουργίας στην Ιρλανδία και διέπονται από τη νομοθεσία της Central Bank of Ireland.</w:t>
      </w:r>
      <w:r>
        <w:rPr xmlns:w="http://schemas.openxmlformats.org/wordprocessingml/2006/main">
          <w:rFonts w:ascii="Arial" w:cs="Arial" w:eastAsia="Arial" w:hAnsi="Arial"/>
          <w:sz w:val="14"/>
          <w:szCs w:val="14"/>
          <w:color w:val="auto"/>
        </w:rPr>
        <w:t xml:space="preserve"> Οι εν λόγω βασικές πληροφορίες για τους επενδυτές είναι ακριβείς στις 29 Ιανουαρίου 2024</w:t>
      </w:r>
    </w:p>
    <w:sectPr>
      <w:pgSz w:w="11900" w:h="16838" w:orient="portrait"/>
      <w:cols w:equalWidth="0" w:num="1">
        <w:col w:w="10660"/>
      </w:cols>
      <w:pgMar w:left="620" w:top="609" w:right="626"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2CD20CEA"/>
    <w:multiLevelType w:val="hybridMultilevel"/>
    <w:lvl w:ilvl="0">
      <w:lvlJc w:val="left"/>
      <w:lvlText w:val="%"/>
      <w:numFmt w:val="bullet"/>
      <w:start w:val="1"/>
    </w:lvl>
  </w:abstractNum>
  <w:abstractNum w:abstractNumId="1">
    <w:nsid w:val="14FE214C"/>
    <w:multiLevelType w:val="hybridMultilevel"/>
    <w:lvl w:ilvl="0">
      <w:lvlJc w:val="left"/>
      <w:lvlText w:val="-"/>
      <w:numFmt w:val="bullet"/>
      <w:start w:val="1"/>
    </w:lvl>
  </w:abstractNum>
  <w:abstractNum w:abstractNumId="2">
    <w:nsid w:val="705C3F7C"/>
    <w:multiLevelType w:val="hybridMultilevel"/>
    <w:lvl w:ilvl="0">
      <w:lvlJc w:val="left"/>
      <w:lvlText w:val="-"/>
      <w:numFmt w:val="bullet"/>
      <w:start w:val="1"/>
    </w:lvl>
  </w:abstractNum>
  <w:abstractNum w:abstractNumId="3">
    <w:nsid w:val="2F2D612"/>
    <w:multiLevelType w:val="hybridMultilevel"/>
    <w:lvl w:ilvl="0">
      <w:lvlJc w:val="left"/>
      <w:lvlText w:val="-"/>
      <w:numFmt w:val="bullet"/>
      <w:start w:val="1"/>
    </w:lvl>
  </w:abstractNum>
  <w:abstractNum w:abstractNumId="4">
    <w:nsid w:val="32AA9838"/>
    <w:multiLevelType w:val="hybridMultilevel"/>
    <w:lvl w:ilvl="0">
      <w:lvlJc w:val="left"/>
      <w:lvlText w:val="**"/>
      <w:numFmt w:val="bullet"/>
      <w:start w:val="1"/>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jpe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png"/><Relationship Id="rId43" Type="http://schemas.openxmlformats.org/officeDocument/2006/relationships/image" Target="media/image32.jpeg"/><Relationship Id="rId44" Type="http://schemas.openxmlformats.org/officeDocument/2006/relationships/image" Target="media/image33.png"/><Relationship Id="rId45" Type="http://schemas.openxmlformats.org/officeDocument/2006/relationships/image" Target="media/image34.pn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png"/><Relationship Id="rId49" Type="http://schemas.openxmlformats.org/officeDocument/2006/relationships/image" Target="media/image38.png"/><Relationship Id="rId50" Type="http://schemas.openxmlformats.org/officeDocument/2006/relationships/image" Target="media/image39.png"/><Relationship Id="rId51" Type="http://schemas.openxmlformats.org/officeDocument/2006/relationships/image" Target="media/image40.png"/><Relationship Id="rId52" Type="http://schemas.openxmlformats.org/officeDocument/2006/relationships/image" Target="media/image41.png"/><Relationship Id="rId53" Type="http://schemas.openxmlformats.org/officeDocument/2006/relationships/image" Target="media/image42.jpeg"/><Relationship Id="rId54" Type="http://schemas.openxmlformats.org/officeDocument/2006/relationships/image" Target="media/image4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2024-05-20T14:50:39Z</dcterms:created>
  <dcterms:modified xsi:type="dcterms:W3CDTF">2024-05-20T14:50:39Z</dcterms:modified>
</cp:coreProperties>
</file>