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xmlns:w="http://schemas.openxmlformats.org/wordprocessingml/2006/main">
        <w:ind w:left="3740"/>
        <w:spacing w:after="0"/>
        <w:rPr>
          <w:sz w:val="20"/>
          <w:szCs w:val="20"/>
          <w:color w:val="auto"/>
        </w:rPr>
      </w:pPr>
      <w:r>
        <w:rPr xmlns:w="http://schemas.openxmlformats.org/wordprocessingml/2006/main">
          <w:rFonts w:ascii="Arial" w:cs="Arial" w:eastAsia="Arial" w:hAnsi="Arial"/>
          <w:sz w:val="20"/>
          <w:szCs w:val="20"/>
          <w:color w:val="auto"/>
        </w:rPr>
        <w:drawing xmlns:w="http://schemas.openxmlformats.org/wordprocessingml/2006/main">
          <wp:anchor xmlns:wp="http://schemas.openxmlformats.org/drawingml/2006/wordprocessingDrawing" simplePos="0" relativeHeight="251657728" behindDoc="1" locked="0" layoutInCell="0" allowOverlap="1">
            <wp:simplePos x="0" y="0"/>
            <wp:positionH relativeFrom="page">
              <wp:posOffset>396240</wp:posOffset>
            </wp:positionH>
            <wp:positionV relativeFrom="page">
              <wp:posOffset>360045</wp:posOffset>
            </wp:positionV>
            <wp:extent cx="1419225" cy="47625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clrChange>
                        <a:clrFrom>
                          <a:srgbClr val="FFFFFF"/>
                        </a:clrFrom>
                        <a:clrTo>
                          <a:srgbClr val="FFFFFF">
                            <a:alpha val="0"/>
                          </a:srgbClr>
                        </a:clrTo>
                      </a:clrChange>
                      <a:extLst>
                        <a:ext uri="{28A0092B-C50C-407E-A947-70E740481C1C}"/>
                      </a:extLst>
                    </a:blip>
                    <a:srcRect/>
                    <a:stretch>
                      <a:fillRect/>
                    </a:stretch>
                  </pic:blipFill>
                  <pic:spPr bwMode="auto">
                    <a:xfrm>
                      <a:off x="0" y="0"/>
                      <a:ext cx="1419225" cy="476250"/>
                    </a:xfrm>
                    <a:prstGeom prst="rect">
                      <a:avLst/>
                    </a:prstGeom>
                    <a:noFill/>
                  </pic:spPr>
                </pic:pic>
              </a:graphicData>
            </a:graphic>
          </wp:anchor>
        </w:drawing>
      </w:r>
      <w:r>
        <w:rPr xmlns:w="http://schemas.openxmlformats.org/wordprocessingml/2006/main">
          <w:rFonts w:ascii="Arial" w:cs="Arial" w:eastAsia="Arial" w:hAnsi="Arial"/>
          <w:sz w:val="20"/>
          <w:szCs w:val="20"/>
          <w:color w:val="auto"/>
        </w:rPr>
        <w:t xml:space="preserve">ΒΑΣΙΚΕΣ ΠΛΗΡΟΦΟΡΙΕΣ ΓΙΑ ΤΟΥΣ ΕΠΕΝΔΥΤΕΣ</w:t>
      </w:r>
    </w:p>
    <w:p>
      <w:pPr>
        <w:spacing w:after="0" w:line="67" w:lineRule="exact"/>
        <w:rPr>
          <w:sz w:val="24"/>
          <w:szCs w:val="24"/>
          <w:color w:val="auto"/>
        </w:rPr>
      </w:pPr>
    </w:p>
    <w:p>
      <w:pPr xmlns:w="http://schemas.openxmlformats.org/wordprocessingml/2006/main">
        <w:ind w:left="3740" w:right="160"/>
        <w:spacing w:after="0" w:line="299" w:lineRule="auto"/>
        <w:rPr>
          <w:sz w:val="20"/>
          <w:szCs w:val="20"/>
          <w:color w:val="auto"/>
        </w:rPr>
      </w:pPr>
      <w:r>
        <w:rPr xmlns:w="http://schemas.openxmlformats.org/wordprocessingml/2006/main">
          <w:rFonts w:ascii="Arial" w:cs="Arial" w:eastAsia="Arial" w:hAnsi="Arial"/>
          <w:sz w:val="15"/>
          <w:szCs w:val="15"/>
          <w:color w:val="auto"/>
        </w:rPr>
        <w:t xml:space="preserve">Αυτό το έγγραφο σας παρέχει βασικές πληροφορίες για τους επενδυτές σχετικά με αυτό το Ταμείο.</w:t>
      </w:r>
      <w:r>
        <w:rPr xmlns:w="http://schemas.openxmlformats.org/wordprocessingml/2006/main">
          <w:rFonts w:ascii="Arial" w:cs="Arial" w:eastAsia="Arial" w:hAnsi="Arial"/>
          <w:sz w:val="15"/>
          <w:szCs w:val="15"/>
          <w:color w:val="auto"/>
        </w:rPr>
        <w:t xml:space="preserve"> Δεν είναι υλικό μάρκετινγκ.</w:t>
      </w:r>
      <w:r>
        <w:rPr xmlns:w="http://schemas.openxmlformats.org/wordprocessingml/2006/main">
          <w:rFonts w:ascii="Arial" w:cs="Arial" w:eastAsia="Arial" w:hAnsi="Arial"/>
          <w:sz w:val="15"/>
          <w:szCs w:val="15"/>
          <w:color w:val="auto"/>
        </w:rPr>
        <w:t xml:space="preserve"> Οι πληροφορίες απαιτούνται από το νόμο για να σας βοηθήσουν να κατανοήσετε τη φύση και τους κινδύνους της επένδυσης σε αυτό το Ταμείο.</w:t>
      </w:r>
      <w:r>
        <w:rPr xmlns:w="http://schemas.openxmlformats.org/wordprocessingml/2006/main">
          <w:rFonts w:ascii="Arial" w:cs="Arial" w:eastAsia="Arial" w:hAnsi="Arial"/>
          <w:sz w:val="15"/>
          <w:szCs w:val="15"/>
          <w:color w:val="auto"/>
        </w:rPr>
        <w:t xml:space="preserve"> Σας συμβουλεύουμε να το διαβάσετε, ώστε να μπορείτε να πάρετε μια τεκμηριωμένη απόφαση για το αν θα επενδύσετε.</w:t>
      </w:r>
    </w:p>
    <w:tbl>
      <w:tblPr>
        <w:tblLayout w:type="fixed"/>
        <w:tblInd w:w="0" w:type="dxa"/>
        <w:tblCellMar>
          <w:top w:w="0" w:type="dxa"/>
          <w:left w:w="0" w:type="dxa"/>
          <w:bottom w:w="0" w:type="dxa"/>
          <w:right w:w="0" w:type="dxa"/>
        </w:tblCellMar>
      </w:tblPr>
      <w:tr>
        <w:trPr>
          <w:trHeight w:val="422"/>
        </w:trPr>
        <w:tc>
          <w:tcPr>
            <w:tcW w:w="5340" w:type="dxa"/>
            <w:vAlign w:val="bottom"/>
            <w:tcBorders>
              <w:top w:val="single" w:sz="8" w:color="auto"/>
            </w:tcBorders>
            <w:shd w:val="clear" w:color="auto" w:fill="000000"/>
          </w:tcPr>
          <w:p>
            <w:pPr xmlns:w="http://schemas.openxmlformats.org/wordprocessingml/2006/main">
              <w:ind w:left="80"/>
              <w:spacing w:after="0"/>
              <w:rPr>
                <w:sz w:val="20"/>
                <w:szCs w:val="20"/>
                <w:color w:val="auto"/>
              </w:rPr>
            </w:pPr>
            <w:r>
              <w:rPr xmlns:w="http://schemas.openxmlformats.org/wordprocessingml/2006/main">
                <w:rFonts w:ascii="Arial" w:cs="Arial" w:eastAsia="Arial" w:hAnsi="Arial"/>
                <w:sz w:val="28"/>
                <w:szCs w:val="28"/>
                <w:color w:val="FFFFFF"/>
                <w:w w:val="91"/>
              </w:rPr>
              <w:t xml:space="preserve">Μετοχές STOXX Europe 600 ΟΣΕΚΑ πετρελαίου και φυσικού αερίου</w:t>
            </w:r>
          </w:p>
        </w:tc>
        <w:tc>
          <w:tcPr>
            <w:tcW w:w="5320" w:type="dxa"/>
            <w:vAlign w:val="bottom"/>
            <w:tcBorders>
              <w:top w:val="single" w:sz="8" w:color="auto"/>
              <w:right w:val="single" w:sz="8" w:color="auto"/>
            </w:tcBorders>
            <w:gridSpan w:val="2"/>
          </w:tcPr>
          <w:p>
            <w:pPr xmlns:w="http://schemas.openxmlformats.org/wordprocessingml/2006/main">
              <w:ind w:left="80"/>
              <w:spacing w:after="0"/>
              <w:rPr>
                <w:sz w:val="20"/>
                <w:szCs w:val="20"/>
                <w:color w:val="auto"/>
              </w:rPr>
            </w:pPr>
            <w:r>
              <w:rPr xmlns:w="http://schemas.openxmlformats.org/wordprocessingml/2006/main">
                <w:rFonts w:ascii="Arial" w:cs="Arial" w:eastAsia="Arial" w:hAnsi="Arial"/>
                <w:sz w:val="22"/>
                <w:szCs w:val="22"/>
                <w:color w:val="auto"/>
              </w:rPr>
              <w:t xml:space="preserve">Διαπραγματεύσιμο Ταμείο Συναλλάγματος (ETF)</w:t>
            </w:r>
          </w:p>
        </w:tc>
        <w:tc>
          <w:tcPr>
            <w:tcW w:w="0" w:type="dxa"/>
            <w:vAlign w:val="bottom"/>
          </w:tcPr>
          <w:p>
            <w:pPr>
              <w:spacing w:after="0"/>
              <w:rPr>
                <w:sz w:val="1"/>
                <w:szCs w:val="1"/>
                <w:color w:val="auto"/>
              </w:rPr>
            </w:pPr>
          </w:p>
        </w:tc>
      </w:tr>
      <w:tr>
        <w:trPr>
          <w:trHeight w:val="242"/>
        </w:trPr>
        <w:tc>
          <w:tcPr>
            <w:tcW w:w="5340" w:type="dxa"/>
            <w:vAlign w:val="bottom"/>
            <w:vMerge w:val="restart"/>
            <w:shd w:val="clear" w:color="auto" w:fill="000000"/>
          </w:tcPr>
          <w:p>
            <w:pPr xmlns:w="http://schemas.openxmlformats.org/wordprocessingml/2006/main">
              <w:ind w:left="80"/>
              <w:spacing w:after="0"/>
              <w:rPr>
                <w:sz w:val="20"/>
                <w:szCs w:val="20"/>
                <w:color w:val="auto"/>
              </w:rPr>
            </w:pPr>
            <w:r>
              <w:rPr xmlns:w="http://schemas.openxmlformats.org/wordprocessingml/2006/main">
                <w:rFonts w:ascii="Arial" w:cs="Arial" w:eastAsia="Arial" w:hAnsi="Arial"/>
                <w:sz w:val="28"/>
                <w:szCs w:val="28"/>
                <w:color w:val="FFFFFF"/>
              </w:rPr>
              <w:t xml:space="preserve">ETF (DE)</w:t>
            </w:r>
          </w:p>
        </w:tc>
        <w:tc>
          <w:tcPr>
            <w:tcW w:w="1760" w:type="dxa"/>
            <w:vAlign w:val="bottom"/>
          </w:tcPr>
          <w:p>
            <w:pPr xmlns:w="http://schemas.openxmlformats.org/wordprocessingml/2006/main">
              <w:ind w:left="80"/>
              <w:spacing w:after="0"/>
              <w:rPr>
                <w:sz w:val="20"/>
                <w:szCs w:val="20"/>
                <w:color w:val="auto"/>
              </w:rPr>
            </w:pPr>
            <w:r>
              <w:rPr xmlns:w="http://schemas.openxmlformats.org/wordprocessingml/2006/main">
                <w:rFonts w:ascii="Arial" w:cs="Arial" w:eastAsia="Arial" w:hAnsi="Arial"/>
                <w:sz w:val="18"/>
                <w:szCs w:val="18"/>
                <w:color w:val="auto"/>
              </w:rPr>
              <w:t xml:space="preserve">WKN:</w:t>
            </w:r>
            <w:r>
              <w:rPr xmlns:w="http://schemas.openxmlformats.org/wordprocessingml/2006/main">
                <w:rFonts w:ascii="Arial" w:cs="Arial" w:eastAsia="Arial" w:hAnsi="Arial"/>
                <w:sz w:val="18"/>
                <w:szCs w:val="18"/>
                <w:color w:val="auto"/>
              </w:rPr>
              <w:t xml:space="preserve"> A0H08M</w:t>
            </w:r>
          </w:p>
        </w:tc>
        <w:tc>
          <w:tcPr>
            <w:tcW w:w="3580" w:type="dxa"/>
            <w:vAlign w:val="bottom"/>
            <w:tcBorders>
              <w:right w:val="single" w:sz="8" w:color="auto"/>
            </w:tcBorders>
          </w:tcPr>
          <w:p>
            <w:pPr xmlns:w="http://schemas.openxmlformats.org/wordprocessingml/2006/main">
              <w:ind w:left="560"/>
              <w:spacing w:after="0"/>
              <w:rPr>
                <w:sz w:val="20"/>
                <w:szCs w:val="20"/>
                <w:color w:val="auto"/>
              </w:rPr>
            </w:pPr>
            <w:r>
              <w:rPr xmlns:w="http://schemas.openxmlformats.org/wordprocessingml/2006/main">
                <w:rFonts w:ascii="Arial" w:cs="Arial" w:eastAsia="Arial" w:hAnsi="Arial"/>
                <w:sz w:val="18"/>
                <w:szCs w:val="18"/>
                <w:color w:val="auto"/>
              </w:rPr>
              <w:t xml:space="preserve">ISIN:</w:t>
            </w:r>
            <w:r>
              <w:rPr xmlns:w="http://schemas.openxmlformats.org/wordprocessingml/2006/main">
                <w:rFonts w:ascii="Arial" w:cs="Arial" w:eastAsia="Arial" w:hAnsi="Arial"/>
                <w:sz w:val="18"/>
                <w:szCs w:val="18"/>
                <w:color w:val="auto"/>
              </w:rPr>
              <w:t xml:space="preserve"> DE000A0H08M3</w:t>
            </w:r>
          </w:p>
        </w:tc>
        <w:tc>
          <w:tcPr>
            <w:tcW w:w="0" w:type="dxa"/>
            <w:vAlign w:val="bottom"/>
          </w:tcPr>
          <w:p>
            <w:pPr>
              <w:spacing w:after="0"/>
              <w:rPr>
                <w:sz w:val="1"/>
                <w:szCs w:val="1"/>
                <w:color w:val="auto"/>
              </w:rPr>
            </w:pPr>
          </w:p>
        </w:tc>
      </w:tr>
      <w:tr>
        <w:trPr>
          <w:trHeight w:val="184"/>
        </w:trPr>
        <w:tc>
          <w:tcPr>
            <w:tcW w:w="5340" w:type="dxa"/>
            <w:vAlign w:val="bottom"/>
            <w:vMerge w:val="continue"/>
            <w:shd w:val="clear" w:color="auto" w:fill="000000"/>
          </w:tcPr>
          <w:p>
            <w:pPr>
              <w:spacing w:after="0"/>
              <w:rPr>
                <w:sz w:val="16"/>
                <w:szCs w:val="16"/>
                <w:color w:val="auto"/>
              </w:rPr>
            </w:pPr>
          </w:p>
        </w:tc>
        <w:tc>
          <w:tcPr>
            <w:tcW w:w="5320" w:type="dxa"/>
            <w:vAlign w:val="bottom"/>
            <w:tcBorders>
              <w:right w:val="single" w:sz="8" w:color="auto"/>
            </w:tcBorders>
            <w:gridSpan w:val="2"/>
            <w:vMerge w:val="restart"/>
          </w:tcPr>
          <w:p>
            <w:pPr xmlns:w="http://schemas.openxmlformats.org/wordprocessingml/2006/main">
              <w:ind w:left="80"/>
              <w:spacing w:after="0"/>
              <w:rPr>
                <w:sz w:val="20"/>
                <w:szCs w:val="20"/>
                <w:color w:val="auto"/>
              </w:rPr>
            </w:pPr>
            <w:r>
              <w:rPr xmlns:w="http://schemas.openxmlformats.org/wordprocessingml/2006/main">
                <w:rFonts w:ascii="Arial" w:cs="Arial" w:eastAsia="Arial" w:hAnsi="Arial"/>
                <w:sz w:val="18"/>
                <w:szCs w:val="18"/>
                <w:color w:val="auto"/>
                <w:w w:val="95"/>
              </w:rPr>
              <w:t xml:space="preserve">Εταιρεία διαχείρισης:</w:t>
            </w:r>
            <w:r>
              <w:rPr xmlns:w="http://schemas.openxmlformats.org/wordprocessingml/2006/main">
                <w:rFonts w:ascii="Arial" w:cs="Arial" w:eastAsia="Arial" w:hAnsi="Arial"/>
                <w:sz w:val="18"/>
                <w:szCs w:val="18"/>
                <w:color w:val="auto"/>
                <w:w w:val="95"/>
              </w:rPr>
              <w:t xml:space="preserve"> BlackRock Asset Management Γερμανίας</w:t>
            </w:r>
          </w:p>
        </w:tc>
        <w:tc>
          <w:tcPr>
            <w:tcW w:w="0" w:type="dxa"/>
            <w:vAlign w:val="bottom"/>
          </w:tcPr>
          <w:p>
            <w:pPr>
              <w:spacing w:after="0"/>
              <w:rPr>
                <w:sz w:val="1"/>
                <w:szCs w:val="1"/>
                <w:color w:val="auto"/>
              </w:rPr>
            </w:pPr>
          </w:p>
        </w:tc>
      </w:tr>
      <w:tr>
        <w:trPr>
          <w:trHeight w:val="105"/>
        </w:trPr>
        <w:tc>
          <w:tcPr>
            <w:tcW w:w="5340" w:type="dxa"/>
            <w:vAlign w:val="bottom"/>
            <w:vMerge w:val="restart"/>
            <w:shd w:val="clear" w:color="auto" w:fill="000000"/>
          </w:tcPr>
          <w:p>
            <w:pPr xmlns:w="http://schemas.openxmlformats.org/wordprocessingml/2006/main">
              <w:ind w:left="80"/>
              <w:spacing w:after="0"/>
              <w:rPr>
                <w:sz w:val="20"/>
                <w:szCs w:val="20"/>
                <w:color w:val="auto"/>
              </w:rPr>
            </w:pPr>
            <w:r>
              <w:rPr xmlns:w="http://schemas.openxmlformats.org/wordprocessingml/2006/main">
                <w:rFonts w:ascii="Arial" w:cs="Arial" w:eastAsia="Arial" w:hAnsi="Arial"/>
                <w:sz w:val="20"/>
                <w:szCs w:val="20"/>
                <w:color w:val="FFFFFF"/>
                <w:w w:val="96"/>
              </w:rPr>
              <w:t xml:space="preserve">Ένα επιμέρους κεφάλαιο της Shares (DE) I Investmentaktiengesellschaft mit</w:t>
            </w:r>
          </w:p>
        </w:tc>
        <w:tc>
          <w:tcPr>
            <w:tcW w:w="5320" w:type="dxa"/>
            <w:vAlign w:val="bottom"/>
            <w:tcBorders>
              <w:right w:val="single" w:sz="8" w:color="auto"/>
            </w:tcBorders>
            <w:gridSpan w:val="2"/>
            <w:vMerge w:val="continue"/>
          </w:tcPr>
          <w:p>
            <w:pPr>
              <w:spacing w:after="0"/>
              <w:rPr>
                <w:sz w:val="9"/>
                <w:szCs w:val="9"/>
                <w:color w:val="auto"/>
              </w:rPr>
            </w:pPr>
          </w:p>
        </w:tc>
        <w:tc>
          <w:tcPr>
            <w:tcW w:w="0" w:type="dxa"/>
            <w:vAlign w:val="bottom"/>
          </w:tcPr>
          <w:p>
            <w:pPr>
              <w:spacing w:after="0"/>
              <w:rPr>
                <w:sz w:val="1"/>
                <w:szCs w:val="1"/>
                <w:color w:val="auto"/>
              </w:rPr>
            </w:pPr>
          </w:p>
        </w:tc>
      </w:tr>
      <w:tr>
        <w:trPr>
          <w:trHeight w:val="259"/>
        </w:trPr>
        <w:tc>
          <w:tcPr>
            <w:tcW w:w="5340" w:type="dxa"/>
            <w:vAlign w:val="bottom"/>
            <w:vMerge w:val="continue"/>
            <w:shd w:val="clear" w:color="auto" w:fill="000000"/>
          </w:tcPr>
          <w:p>
            <w:pPr>
              <w:spacing w:after="0"/>
              <w:rPr>
                <w:sz w:val="22"/>
                <w:szCs w:val="22"/>
                <w:color w:val="auto"/>
              </w:rPr>
            </w:pPr>
          </w:p>
        </w:tc>
        <w:tc>
          <w:tcPr>
            <w:tcW w:w="1760" w:type="dxa"/>
            <w:vAlign w:val="bottom"/>
          </w:tcPr>
          <w:p>
            <w:pPr xmlns:w="http://schemas.openxmlformats.org/wordprocessingml/2006/main">
              <w:ind w:left="80"/>
              <w:spacing w:after="0"/>
              <w:rPr>
                <w:sz w:val="20"/>
                <w:szCs w:val="20"/>
                <w:color w:val="auto"/>
              </w:rPr>
            </w:pPr>
            <w:r>
              <w:rPr xmlns:w="http://schemas.openxmlformats.org/wordprocessingml/2006/main">
                <w:rFonts w:ascii="Arial" w:cs="Arial" w:eastAsia="Arial" w:hAnsi="Arial"/>
                <w:sz w:val="18"/>
                <w:szCs w:val="18"/>
                <w:color w:val="auto"/>
              </w:rPr>
              <w:t xml:space="preserve">ΑΗ</w:t>
            </w:r>
          </w:p>
        </w:tc>
        <w:tc>
          <w:tcPr>
            <w:tcW w:w="3580" w:type="dxa"/>
            <w:vAlign w:val="bottom"/>
            <w:tcBorders>
              <w:right w:val="single" w:sz="8" w:color="auto"/>
            </w:tcBorders>
          </w:tcPr>
          <w:p>
            <w:pPr>
              <w:spacing w:after="0"/>
              <w:rPr>
                <w:sz w:val="22"/>
                <w:szCs w:val="22"/>
                <w:color w:val="auto"/>
              </w:rPr>
            </w:pPr>
          </w:p>
        </w:tc>
        <w:tc>
          <w:tcPr>
            <w:tcW w:w="0" w:type="dxa"/>
            <w:vAlign w:val="bottom"/>
          </w:tcPr>
          <w:p>
            <w:pPr>
              <w:spacing w:after="0"/>
              <w:rPr>
                <w:sz w:val="1"/>
                <w:szCs w:val="1"/>
                <w:color w:val="auto"/>
              </w:rPr>
            </w:pPr>
          </w:p>
        </w:tc>
      </w:tr>
      <w:tr>
        <w:trPr>
          <w:trHeight w:val="267"/>
        </w:trPr>
        <w:tc>
          <w:tcPr>
            <w:tcW w:w="5340" w:type="dxa"/>
            <w:vAlign w:val="bottom"/>
            <w:shd w:val="clear" w:color="auto" w:fill="000000"/>
          </w:tcPr>
          <w:p>
            <w:pPr xmlns:w="http://schemas.openxmlformats.org/wordprocessingml/2006/main">
              <w:ind w:left="80"/>
              <w:spacing w:after="0"/>
              <w:rPr>
                <w:sz w:val="20"/>
                <w:szCs w:val="20"/>
                <w:color w:val="auto"/>
              </w:rPr>
            </w:pPr>
            <w:r>
              <w:rPr xmlns:w="http://schemas.openxmlformats.org/wordprocessingml/2006/main">
                <w:rFonts w:ascii="Arial" w:cs="Arial" w:eastAsia="Arial" w:hAnsi="Arial"/>
                <w:sz w:val="20"/>
                <w:szCs w:val="20"/>
                <w:color w:val="FFFFFF"/>
              </w:rPr>
              <w:t xml:space="preserve">Τεγιλγκεσέλσχαφτσβερμέγκεν</w:t>
            </w:r>
          </w:p>
        </w:tc>
        <w:tc>
          <w:tcPr>
            <w:tcW w:w="1760" w:type="dxa"/>
            <w:vAlign w:val="bottom"/>
          </w:tcPr>
          <w:p>
            <w:pPr>
              <w:spacing w:after="0"/>
              <w:rPr>
                <w:sz w:val="23"/>
                <w:szCs w:val="23"/>
                <w:color w:val="auto"/>
              </w:rPr>
            </w:pPr>
          </w:p>
        </w:tc>
        <w:tc>
          <w:tcPr>
            <w:tcW w:w="3580" w:type="dxa"/>
            <w:vAlign w:val="bottom"/>
            <w:tcBorders>
              <w:right w:val="single" w:sz="8" w:color="auto"/>
            </w:tcBorders>
          </w:tcPr>
          <w:p>
            <w:pPr>
              <w:spacing w:after="0"/>
              <w:rPr>
                <w:sz w:val="23"/>
                <w:szCs w:val="23"/>
                <w:color w:val="auto"/>
              </w:rPr>
            </w:pPr>
          </w:p>
        </w:tc>
        <w:tc>
          <w:tcPr>
            <w:tcW w:w="0" w:type="dxa"/>
            <w:vAlign w:val="bottom"/>
          </w:tcPr>
          <w:p>
            <w:pPr>
              <w:spacing w:after="0"/>
              <w:rPr>
                <w:sz w:val="1"/>
                <w:szCs w:val="1"/>
                <w:color w:val="auto"/>
              </w:rPr>
            </w:pPr>
          </w:p>
        </w:tc>
      </w:tr>
      <w:tr>
        <w:trPr>
          <w:trHeight w:val="44"/>
        </w:trPr>
        <w:tc>
          <w:tcPr>
            <w:tcW w:w="5340" w:type="dxa"/>
            <w:vAlign w:val="bottom"/>
            <w:tcBorders>
              <w:bottom w:val="single" w:sz="8" w:color="auto"/>
            </w:tcBorders>
            <w:shd w:val="clear" w:color="auto" w:fill="000000"/>
          </w:tcPr>
          <w:p>
            <w:pPr>
              <w:spacing w:after="0"/>
              <w:rPr>
                <w:sz w:val="3"/>
                <w:szCs w:val="3"/>
                <w:color w:val="auto"/>
              </w:rPr>
            </w:pPr>
          </w:p>
        </w:tc>
        <w:tc>
          <w:tcPr>
            <w:tcW w:w="1760" w:type="dxa"/>
            <w:vAlign w:val="bottom"/>
            <w:tcBorders>
              <w:bottom w:val="single" w:sz="8" w:color="auto"/>
            </w:tcBorders>
          </w:tcPr>
          <w:p>
            <w:pPr>
              <w:spacing w:after="0"/>
              <w:rPr>
                <w:sz w:val="3"/>
                <w:szCs w:val="3"/>
                <w:color w:val="auto"/>
              </w:rPr>
            </w:pPr>
          </w:p>
        </w:tc>
        <w:tc>
          <w:tcPr>
            <w:tcW w:w="3580" w:type="dxa"/>
            <w:vAlign w:val="bottom"/>
            <w:tcBorders>
              <w:bottom w:val="single" w:sz="8" w:color="auto"/>
              <w:right w:val="single" w:sz="8" w:color="auto"/>
            </w:tcBorders>
          </w:tcPr>
          <w:p>
            <w:pPr>
              <w:spacing w:after="0"/>
              <w:rPr>
                <w:sz w:val="3"/>
                <w:szCs w:val="3"/>
                <w:color w:val="auto"/>
              </w:rPr>
            </w:pPr>
          </w:p>
        </w:tc>
        <w:tc>
          <w:tcPr>
            <w:tcW w:w="0" w:type="dxa"/>
            <w:vAlign w:val="bottom"/>
          </w:tcPr>
          <w:p>
            <w:pPr>
              <w:spacing w:after="0"/>
              <w:rPr>
                <w:sz w:val="1"/>
                <w:szCs w:val="1"/>
                <w:color w:val="auto"/>
              </w:rPr>
            </w:pPr>
          </w:p>
        </w:tc>
      </w:tr>
    </w:tbl>
    <w:p>
      <w:pPr>
        <w:spacing w:after="0" w:line="42" w:lineRule="exact"/>
        <w:rPr>
          <w:sz w:val="24"/>
          <w:szCs w:val="24"/>
          <w:color w:val="auto"/>
        </w:rPr>
      </w:pPr>
    </w:p>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26"/>
          <w:szCs w:val="26"/>
          <w:color w:val="auto"/>
        </w:rPr>
        <w:t xml:space="preserve">Στόχοι και επενδυτική πολιτική</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2540</wp:posOffset>
            </wp:positionH>
            <wp:positionV relativeFrom="paragraph">
              <wp:posOffset>22860</wp:posOffset>
            </wp:positionV>
            <wp:extent cx="6767830" cy="952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extLst>
                    </a:blip>
                    <a:srcRect/>
                    <a:stretch>
                      <a:fillRect/>
                    </a:stretch>
                  </pic:blipFill>
                  <pic:spPr bwMode="auto">
                    <a:xfrm>
                      <a:off x="0" y="0"/>
                      <a:ext cx="6767830" cy="9525"/>
                    </a:xfrm>
                    <a:prstGeom prst="rect">
                      <a:avLst/>
                    </a:prstGeom>
                    <a:noFill/>
                  </pic:spPr>
                </pic:pic>
              </a:graphicData>
            </a:graphic>
          </wp:anchor>
        </w:drawing>
      </w:r>
    </w:p>
    <w:p>
      <w:pPr>
        <w:spacing w:after="0" w:line="74" w:lineRule="exact"/>
        <w:rPr>
          <w:sz w:val="24"/>
          <w:szCs w:val="24"/>
          <w:color w:val="auto"/>
        </w:rPr>
      </w:pPr>
    </w:p>
    <w:p>
      <w:pPr xmlns:w="http://schemas.openxmlformats.org/wordprocessingml/2006/main">
        <w:ind w:left="160" w:right="60" w:hanging="134"/>
        <w:spacing w:after="0"/>
        <w:rPr>
          <w:sz w:val="20"/>
          <w:szCs w:val="20"/>
          <w:color w:val="auto"/>
        </w:rPr>
      </w:pPr>
      <w:r>
        <w:rPr xmlns:w="http://schemas.openxmlformats.org/wordprocessingml/2006/main">
          <w:sz w:val="1"/>
          <w:szCs w:val="1"/>
          <w:color w:val="auto"/>
        </w:rPr>
        <w:drawing xmlns:w="http://schemas.openxmlformats.org/wordprocessingml/2006/main">
          <wp:inline xmlns:wp="http://schemas.openxmlformats.org/drawingml/2006/wordprocessingDrawing" distT="0" distB="0" distL="0" distR="0">
            <wp:extent cx="45720" cy="7747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extLst>
                    </a:blip>
                    <a:srcRect/>
                    <a:stretch>
                      <a:fillRect/>
                    </a:stretch>
                  </pic:blipFill>
                  <pic:spPr bwMode="auto">
                    <a:xfrm>
                      <a:off x="0" y="0"/>
                      <a:ext cx="45720" cy="77470"/>
                    </a:xfrm>
                    <a:prstGeom prst="rect">
                      <a:avLst/>
                    </a:prstGeom>
                    <a:noFill/>
                    <a:ln>
                      <a:noFill/>
                    </a:ln>
                  </pic:spPr>
                </pic:pic>
              </a:graphicData>
            </a:graphic>
          </wp:inline>
        </w:drawing>
      </w:r>
      <w:r>
        <w:rPr xmlns:w="http://schemas.openxmlformats.org/wordprocessingml/2006/main">
          <w:rFonts w:ascii="Arial" w:cs="Arial" w:eastAsia="Arial" w:hAnsi="Arial"/>
          <w:sz w:val="16"/>
          <w:szCs w:val="16"/>
          <w:color w:val="auto"/>
        </w:rPr>
        <w:t xml:space="preserve"> Το υπο-αμοιβαίο κεφάλαιο iShares STOXX Europe 600 Oil &amp; Gas ΟΣΕΚΑ ETF (DE) (το « Fund ») είναι ένα παθητικά διαχειριζόμενο διαπραγματεύσιμο αμοιβαίο κεφάλαιο (ETF) που αποσκοπεί στην όσο το δυνατόν στενότερη παρακολούθηση των επιδόσεων του STOXX® Europe 600 Oil &amp; Gas (Price Index).</w:t>
      </w:r>
      <w:r>
        <w:rPr xmlns:w="http://schemas.openxmlformats.org/wordprocessingml/2006/main">
          <w:rFonts w:ascii="Arial" w:cs="Arial" w:eastAsia="Arial" w:hAnsi="Arial"/>
          <w:sz w:val="16"/>
          <w:szCs w:val="16"/>
          <w:color w:val="auto"/>
        </w:rPr>
        <w:t xml:space="preserve"> Εν προκειμένω, αποσκοπεί στην αναπαραγωγή του δείκτη αναφοράς (δείκτης).</w:t>
      </w:r>
    </w:p>
    <w:p>
      <w:pPr>
        <w:spacing w:after="0" w:line="28" w:lineRule="exact"/>
        <w:rPr>
          <w:sz w:val="24"/>
          <w:szCs w:val="24"/>
          <w:color w:val="auto"/>
        </w:rPr>
      </w:pPr>
    </w:p>
    <w:p>
      <w:pPr xmlns:w="http://schemas.openxmlformats.org/wordprocessingml/2006/main">
        <w:ind w:left="160" w:right="240" w:hanging="134"/>
        <w:spacing w:after="0"/>
        <w:rPr>
          <w:sz w:val="20"/>
          <w:szCs w:val="20"/>
          <w:color w:val="auto"/>
        </w:rPr>
      </w:pPr>
      <w:r>
        <w:rPr xmlns:w="http://schemas.openxmlformats.org/wordprocessingml/2006/main">
          <w:sz w:val="1"/>
          <w:szCs w:val="1"/>
          <w:color w:val="auto"/>
        </w:rPr>
        <w:drawing xmlns:w="http://schemas.openxmlformats.org/wordprocessingml/2006/main">
          <wp:inline xmlns:wp="http://schemas.openxmlformats.org/drawingml/2006/wordprocessingDrawing" distT="0" distB="0" distL="0" distR="0">
            <wp:extent cx="45720" cy="7747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a:extLst>
                        <a:ext uri="{28A0092B-C50C-407E-A947-70E740481C1C}"/>
                      </a:extLst>
                    </a:blip>
                    <a:srcRect/>
                    <a:stretch>
                      <a:fillRect/>
                    </a:stretch>
                  </pic:blipFill>
                  <pic:spPr bwMode="auto">
                    <a:xfrm>
                      <a:off x="0" y="0"/>
                      <a:ext cx="45720" cy="77470"/>
                    </a:xfrm>
                    <a:prstGeom prst="rect">
                      <a:avLst/>
                    </a:prstGeom>
                    <a:noFill/>
                    <a:ln>
                      <a:noFill/>
                    </a:ln>
                  </pic:spPr>
                </pic:pic>
              </a:graphicData>
            </a:graphic>
          </wp:inline>
        </w:drawing>
      </w:r>
      <w:r>
        <w:rPr xmlns:w="http://schemas.openxmlformats.org/wordprocessingml/2006/main">
          <w:rFonts w:ascii="Arial" w:cs="Arial" w:eastAsia="Arial" w:hAnsi="Arial"/>
          <w:sz w:val="16"/>
          <w:szCs w:val="16"/>
          <w:color w:val="auto"/>
        </w:rPr>
        <w:t xml:space="preserve"> Ο δείκτης μετρά τις επιδόσεις του ευρωπαϊκού τομέα πετρελαίου και φυσικού αερίου, όπως ορίζεται από τον δείκτη αναφοράς ταξινόμησης κλάδου (ICB), και αποτελεί υποσύνολο του δείκτη STOXX® Europe 600, ο οποίος περιλαμβάνει 600 από τα μεγαλύτερα αποθέματα σε 18 ευρωπαϊκές χώρες.</w:t>
      </w:r>
      <w:r>
        <w:rPr xmlns:w="http://schemas.openxmlformats.org/wordprocessingml/2006/main">
          <w:rFonts w:ascii="Arial" w:cs="Arial" w:eastAsia="Arial" w:hAnsi="Arial"/>
          <w:sz w:val="16"/>
          <w:szCs w:val="16"/>
          <w:color w:val="auto"/>
        </w:rPr>
        <w:t xml:space="preserve"> Ο δείκτης επανισορροπεί ανά τρίμηνο με στοιχεία σταθμισμένα με βάση την ελεύθερη χρηματιστηριακή αξία και προσαρμοσμένα ώστε να διατηρηθεί η συμμόρφωση με τα πρότυπα διαφοροποίησης των ΟΣΕΚΑ.</w:t>
      </w:r>
      <w:r>
        <w:rPr xmlns:w="http://schemas.openxmlformats.org/wordprocessingml/2006/main">
          <w:rFonts w:ascii="Arial" w:cs="Arial" w:eastAsia="Arial" w:hAnsi="Arial"/>
          <w:sz w:val="16"/>
          <w:szCs w:val="16"/>
          <w:color w:val="auto"/>
        </w:rPr>
        <w:t xml:space="preserve"> Η ελεύθερη χρηματιστηριακή αξία είναι η αγοραία αξία των άμεσα διαθέσιμων μετοχών μιας εταιρείας.</w:t>
      </w:r>
    </w:p>
    <w:p>
      <w:pPr>
        <w:spacing w:after="0" w:line="28" w:lineRule="exact"/>
        <w:rPr>
          <w:sz w:val="24"/>
          <w:szCs w:val="24"/>
          <w:color w:val="auto"/>
        </w:rPr>
      </w:pPr>
    </w:p>
    <w:p>
      <w:pPr xmlns:w="http://schemas.openxmlformats.org/wordprocessingml/2006/main">
        <w:ind w:left="40"/>
        <w:spacing w:after="0"/>
        <w:rPr>
          <w:sz w:val="20"/>
          <w:szCs w:val="20"/>
          <w:color w:val="auto"/>
        </w:rPr>
      </w:pPr>
      <w:r>
        <w:rPr xmlns:w="http://schemas.openxmlformats.org/wordprocessingml/2006/main">
          <w:sz w:val="1"/>
          <w:szCs w:val="1"/>
          <w:color w:val="auto"/>
        </w:rPr>
        <w:drawing xmlns:w="http://schemas.openxmlformats.org/wordprocessingml/2006/main">
          <wp:inline xmlns:wp="http://schemas.openxmlformats.org/drawingml/2006/wordprocessingDrawing" distT="0" distB="0" distL="0" distR="0">
            <wp:extent cx="45720" cy="7747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a:extLst>
                        <a:ext uri="{28A0092B-C50C-407E-A947-70E740481C1C}"/>
                      </a:extLst>
                    </a:blip>
                    <a:srcRect/>
                    <a:stretch>
                      <a:fillRect/>
                    </a:stretch>
                  </pic:blipFill>
                  <pic:spPr bwMode="auto">
                    <a:xfrm>
                      <a:off x="0" y="0"/>
                      <a:ext cx="45720" cy="77470"/>
                    </a:xfrm>
                    <a:prstGeom prst="rect">
                      <a:avLst/>
                    </a:prstGeom>
                    <a:noFill/>
                    <a:ln>
                      <a:noFill/>
                    </a:ln>
                  </pic:spPr>
                </pic:pic>
              </a:graphicData>
            </a:graphic>
          </wp:inline>
        </w:drawing>
      </w:r>
      <w:r>
        <w:rPr xmlns:w="http://schemas.openxmlformats.org/wordprocessingml/2006/main">
          <w:rFonts w:ascii="Arial" w:cs="Arial" w:eastAsia="Arial" w:hAnsi="Arial"/>
          <w:sz w:val="16"/>
          <w:szCs w:val="16"/>
          <w:color w:val="auto"/>
        </w:rPr>
        <w:t xml:space="preserve"> Το Ταμείο επενδύει κυρίως σε μετοχές προκειμένου να επιτύχει τον επενδυτικό στόχο.</w:t>
      </w:r>
    </w:p>
    <w:p>
      <w:pPr>
        <w:spacing w:after="0" w:line="48" w:lineRule="exact"/>
        <w:rPr>
          <w:sz w:val="24"/>
          <w:szCs w:val="24"/>
          <w:color w:val="auto"/>
        </w:rPr>
      </w:pPr>
    </w:p>
    <w:p>
      <w:pPr xmlns:w="http://schemas.openxmlformats.org/wordprocessingml/2006/main">
        <w:ind w:left="40"/>
        <w:spacing w:after="0"/>
        <w:rPr>
          <w:sz w:val="20"/>
          <w:szCs w:val="20"/>
          <w:color w:val="auto"/>
        </w:rPr>
      </w:pPr>
      <w:r>
        <w:rPr xmlns:w="http://schemas.openxmlformats.org/wordprocessingml/2006/main">
          <w:sz w:val="1"/>
          <w:szCs w:val="1"/>
          <w:color w:val="auto"/>
        </w:rPr>
        <w:drawing xmlns:w="http://schemas.openxmlformats.org/wordprocessingml/2006/main">
          <wp:inline xmlns:wp="http://schemas.openxmlformats.org/drawingml/2006/wordprocessingDrawing" distT="0" distB="0" distL="0" distR="0">
            <wp:extent cx="45720" cy="7747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7">
                      <a:extLst>
                        <a:ext uri="{28A0092B-C50C-407E-A947-70E740481C1C}"/>
                      </a:extLst>
                    </a:blip>
                    <a:srcRect/>
                    <a:stretch>
                      <a:fillRect/>
                    </a:stretch>
                  </pic:blipFill>
                  <pic:spPr bwMode="auto">
                    <a:xfrm>
                      <a:off x="0" y="0"/>
                      <a:ext cx="45720" cy="77470"/>
                    </a:xfrm>
                    <a:prstGeom prst="rect">
                      <a:avLst/>
                    </a:prstGeom>
                    <a:noFill/>
                    <a:ln>
                      <a:noFill/>
                    </a:ln>
                  </pic:spPr>
                </pic:pic>
              </a:graphicData>
            </a:graphic>
          </wp:inline>
        </w:drawing>
      </w:r>
      <w:r>
        <w:rPr xmlns:w="http://schemas.openxmlformats.org/wordprocessingml/2006/main">
          <w:rFonts w:ascii="Arial" w:cs="Arial" w:eastAsia="Arial" w:hAnsi="Arial"/>
          <w:sz w:val="16"/>
          <w:szCs w:val="16"/>
          <w:color w:val="auto"/>
        </w:rPr>
        <w:t xml:space="preserve"> Το ποσοστό των στοιχείων ενεργητικού του Ταμείου που αντιστοιχεί στη στάθμιση του δείκτη (ποσοστό αναπαραγωγής) ανέρχεται τουλάχιστον στο 95% των στοιχείων ενεργητικού του Ταμείου.</w:t>
      </w:r>
    </w:p>
    <w:p>
      <w:pPr>
        <w:spacing w:after="0" w:line="48" w:lineRule="exact"/>
        <w:rPr>
          <w:sz w:val="24"/>
          <w:szCs w:val="24"/>
          <w:color w:val="auto"/>
        </w:rPr>
      </w:pPr>
    </w:p>
    <w:p>
      <w:pPr xmlns:w="http://schemas.openxmlformats.org/wordprocessingml/2006/main">
        <w:ind w:left="160" w:right="360" w:hanging="134"/>
        <w:spacing w:after="0"/>
        <w:rPr>
          <w:sz w:val="20"/>
          <w:szCs w:val="20"/>
          <w:color w:val="auto"/>
        </w:rPr>
      </w:pPr>
      <w:r>
        <w:rPr xmlns:w="http://schemas.openxmlformats.org/wordprocessingml/2006/main">
          <w:sz w:val="1"/>
          <w:szCs w:val="1"/>
          <w:color w:val="auto"/>
        </w:rPr>
        <w:drawing xmlns:w="http://schemas.openxmlformats.org/wordprocessingml/2006/main">
          <wp:inline xmlns:wp="http://schemas.openxmlformats.org/drawingml/2006/wordprocessingDrawing" distT="0" distB="0" distL="0" distR="0">
            <wp:extent cx="45720" cy="7747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8">
                      <a:extLst>
                        <a:ext uri="{28A0092B-C50C-407E-A947-70E740481C1C}"/>
                      </a:extLst>
                    </a:blip>
                    <a:srcRect/>
                    <a:stretch>
                      <a:fillRect/>
                    </a:stretch>
                  </pic:blipFill>
                  <pic:spPr bwMode="auto">
                    <a:xfrm>
                      <a:off x="0" y="0"/>
                      <a:ext cx="45720" cy="77470"/>
                    </a:xfrm>
                    <a:prstGeom prst="rect">
                      <a:avLst/>
                    </a:prstGeom>
                    <a:noFill/>
                    <a:ln>
                      <a:noFill/>
                    </a:ln>
                  </pic:spPr>
                </pic:pic>
              </a:graphicData>
            </a:graphic>
          </wp:inline>
        </w:drawing>
      </w:r>
      <w:r>
        <w:rPr xmlns:w="http://schemas.openxmlformats.org/wordprocessingml/2006/main">
          <w:rFonts w:ascii="Arial" w:cs="Arial" w:eastAsia="Arial" w:hAnsi="Arial"/>
          <w:sz w:val="16"/>
          <w:szCs w:val="16"/>
          <w:color w:val="auto"/>
        </w:rPr>
        <w:t xml:space="preserve"> Πρόθεση του διαχειριστή επενδύσεων δεν είναι η μόχλευση του Ταμείου.</w:t>
      </w:r>
      <w:r>
        <w:rPr xmlns:w="http://schemas.openxmlformats.org/wordprocessingml/2006/main">
          <w:rFonts w:ascii="Arial" w:cs="Arial" w:eastAsia="Arial" w:hAnsi="Arial"/>
          <w:sz w:val="16"/>
          <w:szCs w:val="16"/>
          <w:color w:val="auto"/>
        </w:rPr>
        <w:t xml:space="preserve"> Ωστόσο, το Ταμείο μπορεί να παράγει ελάχιστα ποσά μόχλευσης κατά καιρούς, για παράδειγμα, αν χρησιμοποιεί χρηματοοικονομικά παράγωγα μέσα (ΑΞΕ) για σκοπούς αποτελεσματικής διαχείρισης χαρτοφυλακίου.</w:t>
      </w:r>
    </w:p>
    <w:p>
      <w:pPr>
        <w:spacing w:after="0" w:line="28" w:lineRule="exact"/>
        <w:rPr>
          <w:sz w:val="24"/>
          <w:szCs w:val="24"/>
          <w:color w:val="auto"/>
        </w:rPr>
      </w:pPr>
    </w:p>
    <w:p>
      <w:pPr xmlns:w="http://schemas.openxmlformats.org/wordprocessingml/2006/main">
        <w:ind w:left="40"/>
        <w:spacing w:after="0"/>
        <w:rPr>
          <w:sz w:val="20"/>
          <w:szCs w:val="20"/>
          <w:color w:val="auto"/>
        </w:rPr>
      </w:pPr>
      <w:r>
        <w:rPr xmlns:w="http://schemas.openxmlformats.org/wordprocessingml/2006/main">
          <w:sz w:val="1"/>
          <w:szCs w:val="1"/>
          <w:color w:val="auto"/>
        </w:rPr>
        <w:drawing xmlns:w="http://schemas.openxmlformats.org/wordprocessingml/2006/main">
          <wp:inline xmlns:wp="http://schemas.openxmlformats.org/drawingml/2006/wordprocessingDrawing" distT="0" distB="0" distL="0" distR="0">
            <wp:extent cx="45720" cy="7747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9">
                      <a:extLst>
                        <a:ext uri="{28A0092B-C50C-407E-A947-70E740481C1C}"/>
                      </a:extLst>
                    </a:blip>
                    <a:srcRect/>
                    <a:stretch>
                      <a:fillRect/>
                    </a:stretch>
                  </pic:blipFill>
                  <pic:spPr bwMode="auto">
                    <a:xfrm>
                      <a:off x="0" y="0"/>
                      <a:ext cx="45720" cy="77470"/>
                    </a:xfrm>
                    <a:prstGeom prst="rect">
                      <a:avLst/>
                    </a:prstGeom>
                    <a:noFill/>
                    <a:ln>
                      <a:noFill/>
                    </a:ln>
                  </pic:spPr>
                </pic:pic>
              </a:graphicData>
            </a:graphic>
          </wp:inline>
        </w:drawing>
      </w:r>
      <w:r>
        <w:rPr xmlns:w="http://schemas.openxmlformats.org/wordprocessingml/2006/main">
          <w:rFonts w:ascii="Arial" w:cs="Arial" w:eastAsia="Arial" w:hAnsi="Arial"/>
          <w:sz w:val="15"/>
          <w:szCs w:val="15"/>
          <w:color w:val="auto"/>
        </w:rPr>
        <w:t xml:space="preserve"> Σύσταση:</w:t>
      </w:r>
      <w:r>
        <w:rPr xmlns:w="http://schemas.openxmlformats.org/wordprocessingml/2006/main">
          <w:rFonts w:ascii="Arial" w:cs="Arial" w:eastAsia="Arial" w:hAnsi="Arial"/>
          <w:sz w:val="15"/>
          <w:szCs w:val="15"/>
          <w:color w:val="auto"/>
        </w:rPr>
        <w:t xml:space="preserve"> Το Ταμείο αυτό είναι κατάλληλο για μεσομακροπρόθεσμες επενδύσεις, αν και το Ταμείο μπορεί επίσης να είναι κατάλληλο για βραχυπρόθεσμη έκθεση στον Δείκτη.</w:t>
      </w:r>
    </w:p>
    <w:p>
      <w:pPr>
        <w:spacing w:after="0" w:line="60" w:lineRule="exact"/>
        <w:rPr>
          <w:sz w:val="24"/>
          <w:szCs w:val="24"/>
          <w:color w:val="auto"/>
        </w:rPr>
      </w:pPr>
    </w:p>
    <w:p>
      <w:pPr xmlns:w="http://schemas.openxmlformats.org/wordprocessingml/2006/main">
        <w:ind w:left="200"/>
        <w:spacing w:after="0"/>
        <w:rPr>
          <w:sz w:val="20"/>
          <w:szCs w:val="20"/>
          <w:color w:val="auto"/>
        </w:rPr>
      </w:pPr>
      <w:r>
        <w:rPr xmlns:w="http://schemas.openxmlformats.org/wordprocessingml/2006/main">
          <w:rFonts w:ascii="Arial" w:cs="Arial" w:eastAsia="Arial" w:hAnsi="Arial"/>
          <w:sz w:val="16"/>
          <w:szCs w:val="16"/>
          <w:color w:val="auto"/>
        </w:rPr>
        <w:t xml:space="preserve">Οι μονάδες του Ταμείου διανέμουν μονάδες.</w:t>
      </w:r>
      <w:r>
        <w:rPr xmlns:w="http://schemas.openxmlformats.org/wordprocessingml/2006/main">
          <w:rFonts w:ascii="Arial" w:cs="Arial" w:eastAsia="Arial" w:hAnsi="Arial"/>
          <w:sz w:val="16"/>
          <w:szCs w:val="16"/>
          <w:color w:val="auto"/>
        </w:rPr>
        <w:t xml:space="preserve"> Τα έσοδα από τις επενδύσεις του Ταμείου θα καταβάλλονται τουλάχιστον μία φορά τον χρόνο ως μέρισμα.</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21590</wp:posOffset>
            </wp:positionH>
            <wp:positionV relativeFrom="paragraph">
              <wp:posOffset>-84455</wp:posOffset>
            </wp:positionV>
            <wp:extent cx="45720" cy="7747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0">
                      <a:extLst>
                        <a:ext uri="{28A0092B-C50C-407E-A947-70E740481C1C}"/>
                      </a:extLst>
                    </a:blip>
                    <a:srcRect/>
                    <a:stretch>
                      <a:fillRect/>
                    </a:stretch>
                  </pic:blipFill>
                  <pic:spPr bwMode="auto">
                    <a:xfrm>
                      <a:off x="0" y="0"/>
                      <a:ext cx="45720" cy="77470"/>
                    </a:xfrm>
                    <a:prstGeom prst="rect">
                      <a:avLst/>
                    </a:prstGeom>
                    <a:noFill/>
                  </pic:spPr>
                </pic:pic>
              </a:graphicData>
            </a:graphic>
          </wp:anchor>
        </w:drawing>
      </w:r>
    </w:p>
    <w:p>
      <w:pPr>
        <w:spacing w:after="0" w:line="28" w:lineRule="exact"/>
        <w:rPr>
          <w:sz w:val="24"/>
          <w:szCs w:val="24"/>
          <w:color w:val="auto"/>
        </w:rPr>
      </w:pPr>
    </w:p>
    <w:p>
      <w:pPr xmlns:w="http://schemas.openxmlformats.org/wordprocessingml/2006/main">
        <w:ind w:left="200"/>
        <w:spacing w:after="0"/>
        <w:rPr>
          <w:sz w:val="20"/>
          <w:szCs w:val="20"/>
          <w:color w:val="auto"/>
        </w:rPr>
      </w:pPr>
      <w:r>
        <w:rPr xmlns:w="http://schemas.openxmlformats.org/wordprocessingml/2006/main">
          <w:rFonts w:ascii="Arial" w:cs="Arial" w:eastAsia="Arial" w:hAnsi="Arial"/>
          <w:sz w:val="16"/>
          <w:szCs w:val="16"/>
          <w:color w:val="auto"/>
        </w:rPr>
        <w:t xml:space="preserve">Οι μονάδες του Ταμείου εκφράζονται σε ευρώ.</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21590</wp:posOffset>
            </wp:positionH>
            <wp:positionV relativeFrom="paragraph">
              <wp:posOffset>-84455</wp:posOffset>
            </wp:positionV>
            <wp:extent cx="45720" cy="7747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1">
                      <a:extLst>
                        <a:ext uri="{28A0092B-C50C-407E-A947-70E740481C1C}"/>
                      </a:extLst>
                    </a:blip>
                    <a:srcRect/>
                    <a:stretch>
                      <a:fillRect/>
                    </a:stretch>
                  </pic:blipFill>
                  <pic:spPr bwMode="auto">
                    <a:xfrm>
                      <a:off x="0" y="0"/>
                      <a:ext cx="45720" cy="77470"/>
                    </a:xfrm>
                    <a:prstGeom prst="rect">
                      <a:avLst/>
                    </a:prstGeom>
                    <a:noFill/>
                  </pic:spPr>
                </pic:pic>
              </a:graphicData>
            </a:graphic>
          </wp:anchor>
        </w:drawing>
      </w:r>
    </w:p>
    <w:p>
      <w:pPr>
        <w:spacing w:after="0" w:line="28" w:lineRule="exact"/>
        <w:rPr>
          <w:sz w:val="24"/>
          <w:szCs w:val="24"/>
          <w:color w:val="auto"/>
        </w:rPr>
      </w:pPr>
    </w:p>
    <w:p>
      <w:pPr xmlns:w="http://schemas.openxmlformats.org/wordprocessingml/2006/main">
        <w:ind w:left="200" w:right="600"/>
        <w:spacing w:after="0" w:line="302" w:lineRule="auto"/>
        <w:rPr>
          <w:sz w:val="20"/>
          <w:szCs w:val="20"/>
          <w:color w:val="auto"/>
        </w:rPr>
      </w:pPr>
      <w:r>
        <w:rPr xmlns:w="http://schemas.openxmlformats.org/wordprocessingml/2006/main">
          <w:rFonts w:ascii="Arial" w:cs="Arial" w:eastAsia="Arial" w:hAnsi="Arial"/>
          <w:sz w:val="16"/>
          <w:szCs w:val="16"/>
          <w:color w:val="auto"/>
        </w:rPr>
        <w:t xml:space="preserve">Οι μονάδες είναι εισηγμένες σε ένα ή περισσότερα χρηματιστήρια.</w:t>
      </w:r>
      <w:r>
        <w:rPr xmlns:w="http://schemas.openxmlformats.org/wordprocessingml/2006/main">
          <w:rFonts w:ascii="Arial" w:cs="Arial" w:eastAsia="Arial" w:hAnsi="Arial"/>
          <w:sz w:val="16"/>
          <w:szCs w:val="16"/>
          <w:color w:val="auto"/>
        </w:rPr>
        <w:t xml:space="preserve"> </w:t>
      </w:r>
      <w:r>
        <w:rPr xmlns:w="http://schemas.openxmlformats.org/wordprocessingml/2006/main">
          <w:rFonts w:ascii="Arial" w:cs="Arial" w:eastAsia="Arial" w:hAnsi="Arial"/>
          <w:sz w:val="16"/>
          <w:szCs w:val="16"/>
          <w:color w:val="auto"/>
        </w:rPr>
        <w:t xml:space="preserve">Οι επενδυτές μπορούν να αγοράζουν ή να πωλούν τα μερίδιά τους καθημερινά κατά τις εργάσιμες ώρες μέσω ενός ενδιάμεσου στο εν λόγω χρηματιστήριο ή χρηματιστήρια.</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21590</wp:posOffset>
            </wp:positionH>
            <wp:positionV relativeFrom="paragraph">
              <wp:posOffset>-260985</wp:posOffset>
            </wp:positionV>
            <wp:extent cx="45720" cy="7747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2">
                      <a:extLst>
                        <a:ext uri="{28A0092B-C50C-407E-A947-70E740481C1C}"/>
                      </a:extLst>
                    </a:blip>
                    <a:srcRect/>
                    <a:stretch>
                      <a:fillRect/>
                    </a:stretch>
                  </pic:blipFill>
                  <pic:spPr bwMode="auto">
                    <a:xfrm>
                      <a:off x="0" y="0"/>
                      <a:ext cx="45720" cy="77470"/>
                    </a:xfrm>
                    <a:prstGeom prst="rect">
                      <a:avLst/>
                    </a:prstGeom>
                    <a:noFill/>
                  </pic:spPr>
                </pic:pic>
              </a:graphicData>
            </a:graphic>
          </wp:anchor>
        </w:drawing>
      </w:r>
    </w:p>
    <w:p>
      <w:pPr xmlns:w="http://schemas.openxmlformats.org/wordprocessingml/2006/main">
        <w:ind w:left="40" w:right="180"/>
        <w:spacing w:after="0" w:line="320" w:lineRule="auto"/>
        <w:rPr>
          <w:sz w:val="20"/>
          <w:szCs w:val="20"/>
          <w:color w:val="auto"/>
        </w:rPr>
      </w:pPr>
      <w:r>
        <w:rPr xmlns:w="http://schemas.openxmlformats.org/wordprocessingml/2006/main">
          <w:rFonts w:ascii="Arial" w:cs="Arial" w:eastAsia="Arial" w:hAnsi="Arial"/>
          <w:sz w:val="16"/>
          <w:szCs w:val="16"/>
          <w:color w:val="auto"/>
        </w:rPr>
        <w:t xml:space="preserve">Για περισσότερες πληροφορίες σχετικά με τους κινδύνους, δείτε το ενημερωτικό δελτίο του Ταμείου στην παράγραφο «Προειδοποιήσεις κινδύνου», η οποία είναι διαθέσιμη στη διεύθυνση www.ishares.com (επιλέξτε τη χώρα σας και μεταβείτε στα Έγγραφα/Νομικές πληροφορίες).</w:t>
      </w:r>
    </w:p>
    <w:p>
      <w:pPr>
        <w:spacing w:after="0" w:line="1" w:lineRule="exact"/>
        <w:rPr>
          <w:sz w:val="24"/>
          <w:szCs w:val="24"/>
          <w:color w:val="auto"/>
        </w:rPr>
      </w:pPr>
    </w:p>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26"/>
          <w:szCs w:val="26"/>
          <w:color w:val="auto"/>
        </w:rPr>
        <w:t xml:space="preserve">Προφίλ κινδύνου και ανταμοιβής</w:t>
      </w:r>
    </w:p>
    <w:p>
      <w:pPr>
        <w:sectPr>
          <w:pgSz w:w="11900" w:h="16838" w:orient="portrait"/>
          <w:cols w:equalWidth="0" w:num="1">
            <w:col w:w="10660"/>
          </w:cols>
          <w:pgMar w:left="620" w:top="573" w:right="626" w:bottom="0" w:gutter="0" w:footer="0" w:header="0"/>
        </w:sectPr>
      </w:pPr>
    </w:p>
    <w:p>
      <w:pPr>
        <w:spacing w:after="0" w:line="111" w:lineRule="exact"/>
        <w:rPr>
          <w:sz w:val="24"/>
          <w:szCs w:val="24"/>
          <w:color w:val="auto"/>
        </w:rPr>
      </w:pPr>
    </w:p>
    <w:tbl>
      <w:tblPr>
        <w:tblLayout w:type="fixed"/>
        <w:tblInd w:w="60" w:type="dxa"/>
        <w:tblCellMar>
          <w:top w:w="0" w:type="dxa"/>
          <w:left w:w="0" w:type="dxa"/>
          <w:bottom w:w="0" w:type="dxa"/>
          <w:right w:w="0" w:type="dxa"/>
        </w:tblCellMar>
      </w:tblPr>
      <w:tr>
        <w:trPr>
          <w:trHeight w:val="228"/>
        </w:trPr>
        <w:tc>
          <w:tcPr>
            <w:tcW w:w="2540" w:type="dxa"/>
            <w:vAlign w:val="bottom"/>
            <w:shd w:val="clear" w:color="auto" w:fill="000000"/>
          </w:tcPr>
          <w:p>
            <w:pPr xmlns:w="http://schemas.openxmlformats.org/wordprocessingml/2006/main">
              <w:ind w:left="40"/>
              <w:spacing w:after="0"/>
              <w:rPr>
                <w:sz w:val="20"/>
                <w:szCs w:val="20"/>
                <w:color w:val="auto"/>
              </w:rPr>
            </w:pPr>
            <w:r>
              <w:rPr xmlns:w="http://schemas.openxmlformats.org/wordprocessingml/2006/main">
                <w:rFonts w:ascii="Arial" w:cs="Arial" w:eastAsia="Arial" w:hAnsi="Arial"/>
                <w:sz w:val="16"/>
                <w:szCs w:val="16"/>
                <w:color w:val="FFFFFF"/>
              </w:rPr>
              <w:t xml:space="preserve">Μείωση κινδύνου</w:t>
            </w:r>
          </w:p>
        </w:tc>
        <w:tc>
          <w:tcPr>
            <w:tcW w:w="2620" w:type="dxa"/>
            <w:vAlign w:val="bottom"/>
            <w:shd w:val="clear" w:color="auto" w:fill="000000"/>
          </w:tcPr>
          <w:p>
            <w:pPr xmlns:w="http://schemas.openxmlformats.org/wordprocessingml/2006/main">
              <w:jc w:val="right"/>
              <w:spacing w:after="0"/>
              <w:rPr>
                <w:sz w:val="20"/>
                <w:szCs w:val="20"/>
                <w:color w:val="auto"/>
              </w:rPr>
            </w:pPr>
            <w:r>
              <w:rPr xmlns:w="http://schemas.openxmlformats.org/wordprocessingml/2006/main">
                <w:rFonts w:ascii="Arial" w:cs="Arial" w:eastAsia="Arial" w:hAnsi="Arial"/>
                <w:sz w:val="16"/>
                <w:szCs w:val="16"/>
                <w:color w:val="FFFFFF"/>
              </w:rPr>
              <w:t xml:space="preserve">Υψηλότερος κίνδυνος</w:t>
            </w:r>
          </w:p>
        </w:tc>
      </w:tr>
      <w:tr>
        <w:trPr>
          <w:trHeight w:val="207"/>
        </w:trPr>
        <w:tc>
          <w:tcPr>
            <w:tcW w:w="2540" w:type="dxa"/>
            <w:vAlign w:val="bottom"/>
            <w:shd w:val="clear" w:color="auto" w:fill="000000"/>
          </w:tcPr>
          <w:p>
            <w:pPr xmlns:w="http://schemas.openxmlformats.org/wordprocessingml/2006/main">
              <w:ind w:left="40"/>
              <w:spacing w:after="0"/>
              <w:rPr>
                <w:sz w:val="20"/>
                <w:szCs w:val="20"/>
                <w:color w:val="auto"/>
              </w:rPr>
            </w:pPr>
            <w:r>
              <w:rPr xmlns:w="http://schemas.openxmlformats.org/wordprocessingml/2006/main">
                <w:rFonts w:ascii="Arial" w:cs="Arial" w:eastAsia="Arial" w:hAnsi="Arial"/>
                <w:sz w:val="14"/>
                <w:szCs w:val="14"/>
                <w:color w:val="FFFFFF"/>
              </w:rPr>
              <w:t xml:space="preserve">Συνήθως χαμηλότερες ανταμοιβές</w:t>
            </w:r>
          </w:p>
        </w:tc>
        <w:tc>
          <w:tcPr>
            <w:tcW w:w="2620" w:type="dxa"/>
            <w:vAlign w:val="bottom"/>
            <w:shd w:val="clear" w:color="auto" w:fill="000000"/>
          </w:tcPr>
          <w:p>
            <w:pPr xmlns:w="http://schemas.openxmlformats.org/wordprocessingml/2006/main">
              <w:jc w:val="right"/>
              <w:spacing w:after="0"/>
              <w:rPr>
                <w:sz w:val="20"/>
                <w:szCs w:val="20"/>
                <w:color w:val="auto"/>
              </w:rPr>
            </w:pPr>
            <w:r>
              <w:rPr xmlns:w="http://schemas.openxmlformats.org/wordprocessingml/2006/main">
                <w:rFonts w:ascii="Arial" w:cs="Arial" w:eastAsia="Arial" w:hAnsi="Arial"/>
                <w:sz w:val="14"/>
                <w:szCs w:val="14"/>
                <w:color w:val="FFFFFF"/>
              </w:rPr>
              <w:t xml:space="preserve">Συνήθως υψηλότερες ανταμοιβές</w:t>
            </w: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38100</wp:posOffset>
            </wp:positionH>
            <wp:positionV relativeFrom="paragraph">
              <wp:posOffset>12700</wp:posOffset>
            </wp:positionV>
            <wp:extent cx="3258185" cy="334645"/>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3">
                      <a:extLst>
                        <a:ext uri="{28A0092B-C50C-407E-A947-70E740481C1C}"/>
                      </a:extLst>
                    </a:blip>
                    <a:srcRect/>
                    <a:stretch>
                      <a:fillRect/>
                    </a:stretch>
                  </pic:blipFill>
                  <pic:spPr bwMode="auto">
                    <a:xfrm>
                      <a:off x="0" y="0"/>
                      <a:ext cx="3258185" cy="334645"/>
                    </a:xfrm>
                    <a:prstGeom prst="rect">
                      <a:avLst/>
                    </a:prstGeom>
                    <a:noFill/>
                  </pic:spPr>
                </pic:pic>
              </a:graphicData>
            </a:graphic>
          </wp:anchor>
        </w:drawing>
        <w:drawing>
          <wp:anchor simplePos="0" relativeHeight="251657728" behindDoc="1" locked="0" layoutInCell="0" allowOverlap="1">
            <wp:simplePos x="0" y="0"/>
            <wp:positionH relativeFrom="column">
              <wp:posOffset>2540</wp:posOffset>
            </wp:positionH>
            <wp:positionV relativeFrom="paragraph">
              <wp:posOffset>393065</wp:posOffset>
            </wp:positionV>
            <wp:extent cx="3329940" cy="9525"/>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4">
                      <a:extLst>
                        <a:ext uri="{28A0092B-C50C-407E-A947-70E740481C1C}"/>
                      </a:extLst>
                    </a:blip>
                    <a:srcRect/>
                    <a:stretch>
                      <a:fillRect/>
                    </a:stretch>
                  </pic:blipFill>
                  <pic:spPr bwMode="auto">
                    <a:xfrm>
                      <a:off x="0" y="0"/>
                      <a:ext cx="3329940" cy="9525"/>
                    </a:xfrm>
                    <a:prstGeom prst="rect">
                      <a:avLst/>
                    </a:prstGeom>
                    <a:noFill/>
                  </pic:spPr>
                </pic:pic>
              </a:graphicData>
            </a:graphic>
          </wp:anchor>
        </w:drawing>
        <w:drawing>
          <wp:anchor simplePos="0" relativeHeight="251657728" behindDoc="1" locked="0" layoutInCell="0" allowOverlap="1">
            <wp:simplePos x="0" y="0"/>
            <wp:positionH relativeFrom="column">
              <wp:posOffset>2540</wp:posOffset>
            </wp:positionH>
            <wp:positionV relativeFrom="paragraph">
              <wp:posOffset>-323215</wp:posOffset>
            </wp:positionV>
            <wp:extent cx="6767830" cy="9525"/>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5">
                      <a:extLst>
                        <a:ext uri="{28A0092B-C50C-407E-A947-70E740481C1C}"/>
                      </a:extLst>
                    </a:blip>
                    <a:srcRect/>
                    <a:stretch>
                      <a:fillRect/>
                    </a:stretch>
                  </pic:blipFill>
                  <pic:spPr bwMode="auto">
                    <a:xfrm>
                      <a:off x="0" y="0"/>
                      <a:ext cx="6767830" cy="9525"/>
                    </a:xfrm>
                    <a:prstGeom prst="rect">
                      <a:avLst/>
                    </a:prstGeom>
                    <a:noFill/>
                  </pic:spPr>
                </pic:pic>
              </a:graphicData>
            </a:graphic>
          </wp:anchor>
        </w:drawing>
      </w:r>
    </w:p>
    <w:p>
      <w:pPr>
        <w:spacing w:after="0" w:line="200" w:lineRule="exact"/>
        <w:rPr>
          <w:sz w:val="24"/>
          <w:szCs w:val="24"/>
          <w:color w:val="auto"/>
        </w:rPr>
      </w:pPr>
    </w:p>
    <w:p>
      <w:pPr>
        <w:spacing w:after="0" w:line="200" w:lineRule="exact"/>
        <w:rPr>
          <w:sz w:val="24"/>
          <w:szCs w:val="24"/>
          <w:color w:val="auto"/>
        </w:rPr>
      </w:pPr>
    </w:p>
    <w:p>
      <w:pPr>
        <w:spacing w:after="0" w:line="301" w:lineRule="exact"/>
        <w:rPr>
          <w:sz w:val="24"/>
          <w:szCs w:val="24"/>
          <w:color w:val="auto"/>
        </w:rPr>
      </w:pPr>
    </w:p>
    <w:p>
      <w:pPr xmlns:w="http://schemas.openxmlformats.org/wordprocessingml/2006/main">
        <w:ind w:left="160" w:right="80"/>
        <w:spacing w:after="0" w:line="302" w:lineRule="auto"/>
        <w:rPr>
          <w:sz w:val="20"/>
          <w:szCs w:val="20"/>
          <w:color w:val="auto"/>
        </w:rPr>
      </w:pPr>
      <w:r>
        <w:rPr xmlns:w="http://schemas.openxmlformats.org/wordprocessingml/2006/main">
          <w:rFonts w:ascii="Arial" w:cs="Arial" w:eastAsia="Arial" w:hAnsi="Arial"/>
          <w:sz w:val="16"/>
          <w:szCs w:val="16"/>
          <w:color w:val="auto"/>
        </w:rPr>
        <w:t xml:space="preserve">Ο δείκτης αυτός βασίζεται σε ιστορικά στοιχεία και ενδέχεται να μην αποτελεί αξιόπιστη ένδειξη του μελλοντικού προφίλ κινδύνου του Ταμείου.</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2540</wp:posOffset>
            </wp:positionH>
            <wp:positionV relativeFrom="paragraph">
              <wp:posOffset>-261620</wp:posOffset>
            </wp:positionV>
            <wp:extent cx="45720" cy="7747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6">
                      <a:extLst>
                        <a:ext uri="{28A0092B-C50C-407E-A947-70E740481C1C}"/>
                      </a:extLst>
                    </a:blip>
                    <a:srcRect/>
                    <a:stretch>
                      <a:fillRect/>
                    </a:stretch>
                  </pic:blipFill>
                  <pic:spPr bwMode="auto">
                    <a:xfrm>
                      <a:off x="0" y="0"/>
                      <a:ext cx="45720" cy="77470"/>
                    </a:xfrm>
                    <a:prstGeom prst="rect">
                      <a:avLst/>
                    </a:prstGeom>
                    <a:noFill/>
                  </pic:spPr>
                </pic:pic>
              </a:graphicData>
            </a:graphic>
          </wp:anchor>
        </w:drawing>
      </w:r>
    </w:p>
    <w:p>
      <w:pPr xmlns:w="http://schemas.openxmlformats.org/wordprocessingml/2006/main">
        <w:ind w:left="160"/>
        <w:spacing w:after="0"/>
        <w:rPr>
          <w:sz w:val="20"/>
          <w:szCs w:val="20"/>
          <w:color w:val="auto"/>
        </w:rPr>
      </w:pPr>
      <w:r>
        <w:rPr xmlns:w="http://schemas.openxmlformats.org/wordprocessingml/2006/main">
          <w:rFonts w:ascii="Arial" w:cs="Arial" w:eastAsia="Arial" w:hAnsi="Arial"/>
          <w:sz w:val="16"/>
          <w:szCs w:val="16"/>
          <w:color w:val="auto"/>
        </w:rPr>
        <w:t xml:space="preserve">Η κατηγορία κινδύνου που εμφανίζεται δεν είναι εγγυημένη και μπορεί να αλλάξει με την πάροδο του χρόνου.</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2540</wp:posOffset>
            </wp:positionH>
            <wp:positionV relativeFrom="paragraph">
              <wp:posOffset>-83820</wp:posOffset>
            </wp:positionV>
            <wp:extent cx="45720" cy="7747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7">
                      <a:extLst>
                        <a:ext uri="{28A0092B-C50C-407E-A947-70E740481C1C}"/>
                      </a:extLst>
                    </a:blip>
                    <a:srcRect/>
                    <a:stretch>
                      <a:fillRect/>
                    </a:stretch>
                  </pic:blipFill>
                  <pic:spPr bwMode="auto">
                    <a:xfrm>
                      <a:off x="0" y="0"/>
                      <a:ext cx="45720" cy="77470"/>
                    </a:xfrm>
                    <a:prstGeom prst="rect">
                      <a:avLst/>
                    </a:prstGeom>
                    <a:noFill/>
                  </pic:spPr>
                </pic:pic>
              </a:graphicData>
            </a:graphic>
          </wp:anchor>
        </w:drawing>
      </w:r>
    </w:p>
    <w:p>
      <w:pPr>
        <w:spacing w:after="0" w:line="28" w:lineRule="exact"/>
        <w:rPr>
          <w:sz w:val="24"/>
          <w:szCs w:val="24"/>
          <w:color w:val="auto"/>
        </w:rPr>
      </w:pPr>
    </w:p>
    <w:p>
      <w:pPr xmlns:w="http://schemas.openxmlformats.org/wordprocessingml/2006/main">
        <w:ind w:left="160"/>
        <w:spacing w:after="0"/>
        <w:rPr>
          <w:sz w:val="20"/>
          <w:szCs w:val="20"/>
          <w:color w:val="auto"/>
        </w:rPr>
      </w:pPr>
      <w:r>
        <w:rPr xmlns:w="http://schemas.openxmlformats.org/wordprocessingml/2006/main">
          <w:rFonts w:ascii="Arial" w:cs="Arial" w:eastAsia="Arial" w:hAnsi="Arial"/>
          <w:sz w:val="16"/>
          <w:szCs w:val="16"/>
          <w:color w:val="auto"/>
        </w:rPr>
        <w:t xml:space="preserve">Η χαμηλότερη κατηγορία δεν σημαίνει μηδενικό κίνδυνο.</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2540</wp:posOffset>
            </wp:positionH>
            <wp:positionV relativeFrom="paragraph">
              <wp:posOffset>-84455</wp:posOffset>
            </wp:positionV>
            <wp:extent cx="45720" cy="77470"/>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8">
                      <a:extLst>
                        <a:ext uri="{28A0092B-C50C-407E-A947-70E740481C1C}"/>
                      </a:extLst>
                    </a:blip>
                    <a:srcRect/>
                    <a:stretch>
                      <a:fillRect/>
                    </a:stretch>
                  </pic:blipFill>
                  <pic:spPr bwMode="auto">
                    <a:xfrm>
                      <a:off x="0" y="0"/>
                      <a:ext cx="45720" cy="77470"/>
                    </a:xfrm>
                    <a:prstGeom prst="rect">
                      <a:avLst/>
                    </a:prstGeom>
                    <a:noFill/>
                  </pic:spPr>
                </pic:pic>
              </a:graphicData>
            </a:graphic>
          </wp:anchor>
        </w:drawing>
      </w:r>
    </w:p>
    <w:p>
      <w:pPr>
        <w:spacing w:after="0" w:line="28" w:lineRule="exact"/>
        <w:rPr>
          <w:sz w:val="24"/>
          <w:szCs w:val="24"/>
          <w:color w:val="auto"/>
        </w:rPr>
      </w:pPr>
    </w:p>
    <w:p>
      <w:pPr xmlns:w="http://schemas.openxmlformats.org/wordprocessingml/2006/main">
        <w:ind w:left="160"/>
        <w:spacing w:after="0" w:line="315" w:lineRule="auto"/>
        <w:rPr>
          <w:sz w:val="20"/>
          <w:szCs w:val="20"/>
          <w:color w:val="auto"/>
        </w:rPr>
      </w:pPr>
      <w:r>
        <w:rPr xmlns:w="http://schemas.openxmlformats.org/wordprocessingml/2006/main">
          <w:rFonts w:ascii="Arial" w:cs="Arial" w:eastAsia="Arial" w:hAnsi="Arial"/>
          <w:sz w:val="16"/>
          <w:szCs w:val="16"/>
          <w:color w:val="auto"/>
        </w:rPr>
        <w:t xml:space="preserve">Το Ταμείο βαθμολογείται με επτά, λόγω της φύσης των επενδύσεών του, οι οποίες περιλαμβάνουν τους κινδύνους που απαριθμούνται κατωτέρω.</w:t>
      </w:r>
      <w:r>
        <w:rPr xmlns:w="http://schemas.openxmlformats.org/wordprocessingml/2006/main">
          <w:rFonts w:ascii="Arial" w:cs="Arial" w:eastAsia="Arial" w:hAnsi="Arial"/>
          <w:sz w:val="16"/>
          <w:szCs w:val="16"/>
          <w:color w:val="auto"/>
        </w:rPr>
        <w:t xml:space="preserve"> Οι παράγοντες αυτοί μπορεί να επηρεάσουν την αξία των επενδύσεων του Ταμείου ή να εκθέσουν το Ταμείο σε ζημίες.</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2540</wp:posOffset>
            </wp:positionH>
            <wp:positionV relativeFrom="paragraph">
              <wp:posOffset>-427355</wp:posOffset>
            </wp:positionV>
            <wp:extent cx="45720" cy="7747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9">
                      <a:extLst>
                        <a:ext uri="{28A0092B-C50C-407E-A947-70E740481C1C}"/>
                      </a:extLst>
                    </a:blip>
                    <a:srcRect/>
                    <a:stretch>
                      <a:fillRect/>
                    </a:stretch>
                  </pic:blipFill>
                  <pic:spPr bwMode="auto">
                    <a:xfrm>
                      <a:off x="0" y="0"/>
                      <a:ext cx="45720" cy="77470"/>
                    </a:xfrm>
                    <a:prstGeom prst="rect">
                      <a:avLst/>
                    </a:prstGeom>
                    <a:noFill/>
                  </pic:spPr>
                </pic:pic>
              </a:graphicData>
            </a:graphic>
          </wp:anchor>
        </w:drawing>
      </w:r>
    </w:p>
    <w:p>
      <w:pPr xmlns:w="http://schemas.openxmlformats.org/wordprocessingml/2006/main">
        <w:spacing w:after="0" w:line="20" w:lineRule="exact"/>
        <w:rPr>
          <w:sz w:val="24"/>
          <w:szCs w:val="24"/>
          <w:color w:val="auto"/>
        </w:rPr>
      </w:pPr>
      <w:r>
        <w:rPr xmlns:w="http://schemas.openxmlformats.org/wordprocessingml/2006/main">
          <w:sz w:val="24"/>
          <w:szCs w:val="24"/>
          <w:color w:val="auto"/>
        </w:rPr>
        <w:br xmlns:w="http://schemas.openxmlformats.org/wordprocessingml/2006/main" w:type="column"/>
      </w:r>
    </w:p>
    <w:p>
      <w:pPr>
        <w:spacing w:after="0" w:line="106" w:lineRule="exact"/>
        <w:rPr>
          <w:sz w:val="24"/>
          <w:szCs w:val="24"/>
          <w:color w:val="auto"/>
        </w:rPr>
      </w:pPr>
    </w:p>
    <w:p>
      <w:pPr xmlns:w="http://schemas.openxmlformats.org/wordprocessingml/2006/main">
        <w:ind w:left="160" w:right="80" w:hanging="159"/>
        <w:spacing w:after="0" w:line="208" w:lineRule="auto"/>
        <w:tabs>
          <w:tab w:leader="none" w:pos="160" w:val="left"/>
        </w:tabs>
        <w:numPr>
          <w:ilvl w:val="0"/>
          <w:numId w:val="1"/>
        </w:numPr>
        <w:rPr>
          <w:rFonts w:ascii="Arial" w:cs="Arial" w:eastAsia="Arial" w:hAnsi="Arial"/>
          <w:sz w:val="37"/>
          <w:szCs w:val="37"/>
          <w:color w:val="auto"/>
          <w:vertAlign w:val="subscript"/>
        </w:rPr>
      </w:pPr>
      <w:r>
        <w:rPr xmlns:w="http://schemas.openxmlformats.org/wordprocessingml/2006/main">
          <w:rFonts w:ascii="Arial" w:cs="Arial" w:eastAsia="Arial" w:hAnsi="Arial"/>
          <w:sz w:val="15"/>
          <w:szCs w:val="15"/>
          <w:color w:val="auto"/>
        </w:rPr>
        <w:t xml:space="preserve">Ο επενδυτικός κίνδυνος συγκεντρώνεται σε συγκεκριμένους τομείς, χώρες, νομίσματα ή εταιρείες.</w:t>
      </w:r>
      <w:r>
        <w:rPr xmlns:w="http://schemas.openxmlformats.org/wordprocessingml/2006/main">
          <w:rFonts w:ascii="Arial" w:cs="Arial" w:eastAsia="Arial" w:hAnsi="Arial"/>
          <w:sz w:val="15"/>
          <w:szCs w:val="15"/>
          <w:color w:val="auto"/>
        </w:rPr>
        <w:t xml:space="preserve"> Αυτό σημαίνει ότι το Ταμείο είναι πιο ευαίσθητο σε οποιαδήποτε τοπικά οικονομικά, εμπορικά, πολιτικά, σχετικά με τη βιωσιμότητα ή ρυθμιστικά γεγονότα.</w:t>
      </w:r>
    </w:p>
    <w:p>
      <w:pPr>
        <w:spacing w:after="0" w:line="28" w:lineRule="exact"/>
        <w:rPr>
          <w:rFonts w:ascii="Arial" w:cs="Arial" w:eastAsia="Arial" w:hAnsi="Arial"/>
          <w:sz w:val="37"/>
          <w:szCs w:val="37"/>
          <w:color w:val="auto"/>
          <w:vertAlign w:val="subscript"/>
        </w:rPr>
      </w:pPr>
    </w:p>
    <w:p>
      <w:pPr xmlns:w="http://schemas.openxmlformats.org/wordprocessingml/2006/main">
        <w:ind w:left="160" w:right="60" w:hanging="159"/>
        <w:spacing w:after="0" w:line="208" w:lineRule="auto"/>
        <w:tabs>
          <w:tab w:leader="none" w:pos="160" w:val="left"/>
        </w:tabs>
        <w:numPr>
          <w:ilvl w:val="0"/>
          <w:numId w:val="1"/>
        </w:numPr>
        <w:rPr>
          <w:rFonts w:ascii="Arial" w:cs="Arial" w:eastAsia="Arial" w:hAnsi="Arial"/>
          <w:sz w:val="37"/>
          <w:szCs w:val="37"/>
          <w:color w:val="auto"/>
          <w:vertAlign w:val="subscript"/>
        </w:rPr>
      </w:pPr>
      <w:r>
        <w:rPr xmlns:w="http://schemas.openxmlformats.org/wordprocessingml/2006/main">
          <w:rFonts w:ascii="Arial" w:cs="Arial" w:eastAsia="Arial" w:hAnsi="Arial"/>
          <w:sz w:val="15"/>
          <w:szCs w:val="15"/>
          <w:color w:val="auto"/>
        </w:rPr>
        <w:t xml:space="preserve">Η αξία των μετοχών και των τίτλων που σχετίζονται με μετοχές μπορεί να επηρεαστεί από τις καθημερινές κινήσεις των χρηματιστηριακών αγορών.</w:t>
      </w:r>
      <w:r>
        <w:rPr xmlns:w="http://schemas.openxmlformats.org/wordprocessingml/2006/main">
          <w:rFonts w:ascii="Arial" w:cs="Arial" w:eastAsia="Arial" w:hAnsi="Arial"/>
          <w:sz w:val="15"/>
          <w:szCs w:val="15"/>
          <w:color w:val="auto"/>
        </w:rPr>
        <w:t xml:space="preserve"> Άλλοι παράγοντες που ασκούν επιρροή περιλαμβάνουν τις πολιτικές, οικονομικές ειδήσεις, τα κέρδη των εταιριών και σημαντικά επιχειρηματικά γεγονότα.</w:t>
      </w:r>
    </w:p>
    <w:p>
      <w:pPr>
        <w:spacing w:after="0" w:line="28" w:lineRule="exact"/>
        <w:rPr>
          <w:rFonts w:ascii="Arial" w:cs="Arial" w:eastAsia="Arial" w:hAnsi="Arial"/>
          <w:sz w:val="37"/>
          <w:szCs w:val="37"/>
          <w:color w:val="auto"/>
          <w:vertAlign w:val="subscript"/>
        </w:rPr>
      </w:pPr>
    </w:p>
    <w:p>
      <w:pPr xmlns:w="http://schemas.openxmlformats.org/wordprocessingml/2006/main">
        <w:ind w:left="160" w:right="60" w:hanging="159"/>
        <w:spacing w:after="0" w:line="193" w:lineRule="auto"/>
        <w:tabs>
          <w:tab w:leader="none" w:pos="160" w:val="left"/>
        </w:tabs>
        <w:numPr>
          <w:ilvl w:val="0"/>
          <w:numId w:val="1"/>
        </w:numPr>
        <w:rPr>
          <w:rFonts w:ascii="Arial" w:cs="Arial" w:eastAsia="Arial" w:hAnsi="Arial"/>
          <w:sz w:val="33"/>
          <w:szCs w:val="33"/>
          <w:color w:val="auto"/>
          <w:vertAlign w:val="subscript"/>
        </w:rPr>
      </w:pPr>
      <w:r>
        <w:rPr xmlns:w="http://schemas.openxmlformats.org/wordprocessingml/2006/main">
          <w:rFonts w:ascii="Arial" w:cs="Arial" w:eastAsia="Arial" w:hAnsi="Arial"/>
          <w:sz w:val="14"/>
          <w:szCs w:val="14"/>
          <w:color w:val="auto"/>
        </w:rPr>
        <w:t xml:space="preserve">Οι επενδύσεις σε ενεργειακές κινητές αξίες υπόκεινται σε περιβαλλοντικές ανησυχίες ή ανησυχίες βιωσιμότητας, σε φόρους, σε κυβερνητικές ρυθμίσεις, σε μεταβολές τιμών και προσφοράς.</w:t>
      </w:r>
    </w:p>
    <w:p>
      <w:pPr>
        <w:spacing w:after="0" w:line="29"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16"/>
          <w:szCs w:val="16"/>
          <w:color w:val="auto"/>
        </w:rPr>
        <w:t xml:space="preserve">Οι ειδικοί κίνδυνοι που δεν λαμβάνονται επαρκώς υπόψη από τον δείκτη κινδύνου περιλαμβάνουν:</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-102235</wp:posOffset>
            </wp:positionH>
            <wp:positionV relativeFrom="paragraph">
              <wp:posOffset>-84455</wp:posOffset>
            </wp:positionV>
            <wp:extent cx="45720" cy="7747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30">
                      <a:extLst>
                        <a:ext uri="{28A0092B-C50C-407E-A947-70E740481C1C}"/>
                      </a:extLst>
                    </a:blip>
                    <a:srcRect/>
                    <a:stretch>
                      <a:fillRect/>
                    </a:stretch>
                  </pic:blipFill>
                  <pic:spPr bwMode="auto">
                    <a:xfrm>
                      <a:off x="0" y="0"/>
                      <a:ext cx="45720" cy="77470"/>
                    </a:xfrm>
                    <a:prstGeom prst="rect">
                      <a:avLst/>
                    </a:prstGeom>
                    <a:noFill/>
                  </pic:spPr>
                </pic:pic>
              </a:graphicData>
            </a:graphic>
          </wp:anchor>
        </w:drawing>
      </w:r>
    </w:p>
    <w:p>
      <w:pPr>
        <w:spacing w:after="0" w:line="28" w:lineRule="exact"/>
        <w:rPr>
          <w:sz w:val="24"/>
          <w:szCs w:val="24"/>
          <w:color w:val="auto"/>
        </w:rPr>
      </w:pPr>
    </w:p>
    <w:p>
      <w:pPr xmlns:w="http://schemas.openxmlformats.org/wordprocessingml/2006/main">
        <w:ind w:left="160" w:right="160" w:hanging="159"/>
        <w:spacing w:after="0" w:line="208" w:lineRule="auto"/>
        <w:tabs>
          <w:tab w:leader="none" w:pos="160" w:val="left"/>
        </w:tabs>
        <w:numPr>
          <w:ilvl w:val="0"/>
          <w:numId w:val="2"/>
        </w:numPr>
        <w:rPr>
          <w:rFonts w:ascii="Arial" w:cs="Arial" w:eastAsia="Arial" w:hAnsi="Arial"/>
          <w:sz w:val="37"/>
          <w:szCs w:val="37"/>
          <w:color w:val="auto"/>
          <w:vertAlign w:val="subscript"/>
        </w:rPr>
      </w:pPr>
      <w:r>
        <w:rPr xmlns:w="http://schemas.openxmlformats.org/wordprocessingml/2006/main">
          <w:rFonts w:ascii="Arial" w:cs="Arial" w:eastAsia="Arial" w:hAnsi="Arial"/>
          <w:sz w:val="15"/>
          <w:szCs w:val="15"/>
          <w:color w:val="auto"/>
        </w:rPr>
        <w:t xml:space="preserve">Κίνδυνος αντισυμβαλλομένου:</w:t>
      </w:r>
      <w:r>
        <w:rPr xmlns:w="http://schemas.openxmlformats.org/wordprocessingml/2006/main">
          <w:rFonts w:ascii="Arial" w:cs="Arial" w:eastAsia="Arial" w:hAnsi="Arial"/>
          <w:sz w:val="15"/>
          <w:szCs w:val="15"/>
          <w:color w:val="auto"/>
        </w:rPr>
        <w:t xml:space="preserve"> Η αφερεγγυότητα οποιουδήποτε ιδρύματος που παρέχει υπηρεσίες, όπως η φύλαξη περιουσιακών στοιχείων ή ενεργεί ως αντισυμβαλλόμενος σε παράγωγα ή άλλα μέσα, μπορεί να εκθέσει το Ταμείο σε οικονομική ζημία.</w:t>
      </w:r>
    </w:p>
    <w:p>
      <w:pPr>
        <w:spacing w:after="0" w:line="237" w:lineRule="exact"/>
        <w:rPr>
          <w:sz w:val="24"/>
          <w:szCs w:val="24"/>
          <w:color w:val="auto"/>
        </w:rPr>
      </w:pPr>
    </w:p>
    <w:p>
      <w:pPr>
        <w:sectPr>
          <w:pgSz w:w="11900" w:h="16838" w:orient="portrait"/>
          <w:cols w:equalWidth="0" w:num="2">
            <w:col w:w="5200" w:space="380"/>
            <w:col w:w="5080"/>
          </w:cols>
          <w:pgMar w:left="620" w:top="573" w:right="626" w:bottom="0" w:gutter="0" w:footer="0" w:header="0"/>
          <w:type w:val="continuous"/>
        </w:sect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382" w:lineRule="exact"/>
        <w:rPr>
          <w:sz w:val="24"/>
          <w:szCs w:val="24"/>
          <w:color w:val="auto"/>
        </w:rPr>
      </w:pPr>
    </w:p>
    <w:p>
      <w:pPr xmlns:w="http://schemas.openxmlformats.org/wordprocessingml/2006/main">
        <w:ind w:left="40"/>
        <w:spacing w:after="0"/>
        <w:rPr>
          <w:sz w:val="20"/>
          <w:szCs w:val="20"/>
          <w:color w:val="auto"/>
        </w:rPr>
      </w:pPr>
      <w:r>
        <w:rPr xmlns:w="http://schemas.openxmlformats.org/wordprocessingml/2006/main">
          <w:rFonts w:ascii="Arial" w:cs="Arial" w:eastAsia="Arial" w:hAnsi="Arial"/>
          <w:sz w:val="12"/>
          <w:szCs w:val="12"/>
          <w:color w:val="auto"/>
        </w:rPr>
        <w:t xml:space="preserve">Το σημείο αναφοράς είναι η πνευματική ιδιοκτησία του φορέα παροχής του δείκτη.</w:t>
      </w:r>
      <w:r>
        <w:rPr xmlns:w="http://schemas.openxmlformats.org/wordprocessingml/2006/main">
          <w:rFonts w:ascii="Arial" w:cs="Arial" w:eastAsia="Arial" w:hAnsi="Arial"/>
          <w:sz w:val="12"/>
          <w:szCs w:val="12"/>
          <w:color w:val="auto"/>
        </w:rPr>
        <w:t xml:space="preserve"> Το Ταμείο δεν χρηματοδοτείται ούτε εγκρίνεται από τον πάροχο του δείκτη.</w:t>
      </w:r>
      <w:r>
        <w:rPr xmlns:w="http://schemas.openxmlformats.org/wordprocessingml/2006/main">
          <w:rFonts w:ascii="Arial" w:cs="Arial" w:eastAsia="Arial" w:hAnsi="Arial"/>
          <w:sz w:val="12"/>
          <w:szCs w:val="12"/>
          <w:color w:val="auto"/>
        </w:rPr>
        <w:t xml:space="preserve"> Παρακαλείσθε να ανατρέξετε στο ενημερωτικό δελτίο του Ταμείου για πλήρη αποποίηση ευθυνών.</w:t>
      </w:r>
    </w:p>
    <w:p>
      <w:pPr>
        <w:sectPr>
          <w:pgSz w:w="11900" w:h="16838" w:orient="portrait"/>
          <w:cols w:equalWidth="0" w:num="1">
            <w:col w:w="10660"/>
          </w:cols>
          <w:pgMar w:left="620" w:top="573" w:right="626" w:bottom="0" w:gutter="0" w:footer="0" w:header="0"/>
          <w:type w:val="continuous"/>
        </w:sectPr>
      </w:pPr>
    </w:p>
    <w:bookmarkStart w:id="1" w:name="page2"/>
    <w:bookmarkEnd w:id="1"/>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22"/>
          <w:szCs w:val="22"/>
          <w:color w:val="auto"/>
        </w:rPr>
        <w:t xml:space="preserve">Χρεώσεις</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3561715</wp:posOffset>
            </wp:positionH>
            <wp:positionV relativeFrom="paragraph">
              <wp:posOffset>97155</wp:posOffset>
            </wp:positionV>
            <wp:extent cx="3208020" cy="172720"/>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31">
                      <a:extLst>
                        <a:ext uri="{28A0092B-C50C-407E-A947-70E740481C1C}"/>
                      </a:extLst>
                    </a:blip>
                    <a:srcRect/>
                    <a:stretch>
                      <a:fillRect/>
                    </a:stretch>
                  </pic:blipFill>
                  <pic:spPr bwMode="auto">
                    <a:xfrm>
                      <a:off x="0" y="0"/>
                      <a:ext cx="3208020" cy="172720"/>
                    </a:xfrm>
                    <a:prstGeom prst="rect">
                      <a:avLst/>
                    </a:prstGeom>
                    <a:noFill/>
                  </pic:spPr>
                </pic:pic>
              </a:graphicData>
            </a:graphic>
          </wp:anchor>
        </w:drawing>
        <w:drawing>
          <wp:anchor simplePos="0" relativeHeight="251657728" behindDoc="1" locked="0" layoutInCell="0" allowOverlap="1">
            <wp:simplePos x="0" y="0"/>
            <wp:positionH relativeFrom="column">
              <wp:posOffset>2540</wp:posOffset>
            </wp:positionH>
            <wp:positionV relativeFrom="paragraph">
              <wp:posOffset>52070</wp:posOffset>
            </wp:positionV>
            <wp:extent cx="6767830" cy="9525"/>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32">
                      <a:extLst>
                        <a:ext uri="{28A0092B-C50C-407E-A947-70E740481C1C}"/>
                      </a:extLst>
                    </a:blip>
                    <a:srcRect/>
                    <a:stretch>
                      <a:fillRect/>
                    </a:stretch>
                  </pic:blipFill>
                  <pic:spPr bwMode="auto">
                    <a:xfrm>
                      <a:off x="0" y="0"/>
                      <a:ext cx="6767830" cy="9525"/>
                    </a:xfrm>
                    <a:prstGeom prst="rect">
                      <a:avLst/>
                    </a:prstGeom>
                    <a:noFill/>
                  </pic:spPr>
                </pic:pic>
              </a:graphicData>
            </a:graphic>
          </wp:anchor>
        </w:drawing>
      </w:r>
    </w:p>
    <w:p>
      <w:pPr>
        <w:sectPr>
          <w:pgSz w:w="11900" w:h="16838" w:orient="portrait"/>
          <w:cols w:equalWidth="0" w:num="1">
            <w:col w:w="10660"/>
          </w:cols>
          <w:pgMar w:left="620" w:top="609" w:right="626" w:bottom="0" w:gutter="0" w:footer="0" w:header="0"/>
        </w:sectPr>
      </w:pPr>
    </w:p>
    <w:p>
      <w:pPr>
        <w:spacing w:after="0" w:line="168" w:lineRule="exact"/>
        <w:rPr>
          <w:sz w:val="20"/>
          <w:szCs w:val="20"/>
          <w:color w:val="auto"/>
        </w:rPr>
      </w:pPr>
    </w:p>
    <w:p>
      <w:pPr xmlns:w="http://schemas.openxmlformats.org/wordprocessingml/2006/main">
        <w:ind w:left="60" w:right="240"/>
        <w:spacing w:after="0" w:line="314" w:lineRule="auto"/>
        <w:rPr>
          <w:sz w:val="20"/>
          <w:szCs w:val="20"/>
          <w:color w:val="auto"/>
        </w:rPr>
      </w:pPr>
      <w:r>
        <w:rPr xmlns:w="http://schemas.openxmlformats.org/wordprocessingml/2006/main">
          <w:rFonts w:ascii="Arial" w:cs="Arial" w:eastAsia="Arial" w:hAnsi="Arial"/>
          <w:sz w:val="16"/>
          <w:szCs w:val="16"/>
          <w:color w:val="auto"/>
        </w:rPr>
        <w:t xml:space="preserve">Τα τέλη χρησιμοποιούνται για την κάλυψη των εξόδων λειτουργίας του Ταμείου, συμπεριλαμβανομένων των εξόδων μάρκετινγκ και διανομής.</w:t>
      </w:r>
      <w:r>
        <w:rPr xmlns:w="http://schemas.openxmlformats.org/wordprocessingml/2006/main">
          <w:rFonts w:ascii="Arial" w:cs="Arial" w:eastAsia="Arial" w:hAnsi="Arial"/>
          <w:sz w:val="16"/>
          <w:szCs w:val="16"/>
          <w:color w:val="auto"/>
        </w:rPr>
        <w:t xml:space="preserve"> Αυτές οι χρεώσεις μειώνουν τη δυνητική ανάπτυξη της επένδυσής σας.</w:t>
      </w:r>
    </w:p>
    <w:p>
      <w:pPr>
        <w:spacing w:after="0" w:line="2" w:lineRule="exact"/>
        <w:rPr>
          <w:sz w:val="20"/>
          <w:szCs w:val="20"/>
          <w:color w:val="auto"/>
        </w:rPr>
      </w:pPr>
    </w:p>
    <w:p>
      <w:pPr xmlns:w="http://schemas.openxmlformats.org/wordprocessingml/2006/main">
        <w:ind w:left="60"/>
        <w:spacing w:after="0" w:line="309" w:lineRule="auto"/>
        <w:rPr>
          <w:sz w:val="20"/>
          <w:szCs w:val="20"/>
          <w:color w:val="auto"/>
        </w:rPr>
      </w:pPr>
      <w:r>
        <w:rPr xmlns:w="http://schemas.openxmlformats.org/wordprocessingml/2006/main">
          <w:rFonts w:ascii="Arial" w:cs="Arial" w:eastAsia="Arial" w:hAnsi="Arial"/>
          <w:sz w:val="16"/>
          <w:szCs w:val="16"/>
          <w:color w:val="auto"/>
        </w:rPr>
        <w:t xml:space="preserve">*Οι επενδυτές που διαπραγματεύονται σε χρηματιστήρια θα πληρώσουν τέλη που χρεώνουν οι χρηματιστηριακοί τους μεσίτες.</w:t>
      </w:r>
      <w:r>
        <w:rPr xmlns:w="http://schemas.openxmlformats.org/wordprocessingml/2006/main">
          <w:rFonts w:ascii="Arial" w:cs="Arial" w:eastAsia="Arial" w:hAnsi="Arial"/>
          <w:sz w:val="16"/>
          <w:szCs w:val="16"/>
          <w:color w:val="auto"/>
        </w:rPr>
        <w:t xml:space="preserve"> Τα εν λόγω τέλη δημοσιοποιούνται στα χρηματιστήρια στα οποία είναι εισηγμένα και αποτελούν αντικείμενο διαπραγμάτευσης τα μερίδια, ή μπορούν να ληφθούν από χρηματιστές.</w:t>
      </w:r>
      <w:r>
        <w:rPr xmlns:w="http://schemas.openxmlformats.org/wordprocessingml/2006/main">
          <w:rFonts w:ascii="Arial" w:cs="Arial" w:eastAsia="Arial" w:hAnsi="Arial"/>
          <w:sz w:val="16"/>
          <w:szCs w:val="16"/>
          <w:color w:val="auto"/>
        </w:rPr>
        <w:t xml:space="preserve"> Αν οι επενδυτές διαπραγματεύονται μονάδες απευθείας με το Ταμείο ή την Εταιρεία Διαχείρισης του Ταμείου, η χρέωση εισόδου είναι έως και 2% και η χρέωση εξόδου είναι έως και 1%.</w:t>
      </w:r>
    </w:p>
    <w:p>
      <w:pPr>
        <w:spacing w:after="0" w:line="4" w:lineRule="exact"/>
        <w:rPr>
          <w:sz w:val="20"/>
          <w:szCs w:val="20"/>
          <w:color w:val="auto"/>
        </w:rPr>
      </w:pPr>
    </w:p>
    <w:p>
      <w:pPr xmlns:w="http://schemas.openxmlformats.org/wordprocessingml/2006/main">
        <w:ind w:left="60" w:right="620"/>
        <w:spacing w:after="0" w:line="366" w:lineRule="auto"/>
        <w:rPr>
          <w:sz w:val="20"/>
          <w:szCs w:val="20"/>
          <w:color w:val="auto"/>
        </w:rPr>
      </w:pPr>
      <w:r>
        <w:rPr xmlns:w="http://schemas.openxmlformats.org/wordprocessingml/2006/main">
          <w:rFonts w:ascii="Arial" w:cs="Arial" w:eastAsia="Arial" w:hAnsi="Arial"/>
          <w:sz w:val="14"/>
          <w:szCs w:val="14"/>
          <w:color w:val="auto"/>
        </w:rPr>
        <w:t xml:space="preserve">*Οι εξουσιοδοτημένοι συμμετέχοντες που συναλλάσσονται απευθείας με το Ταμείο ή την Εταιρεία Διαχείρισης (ανάλογα με την περίπτωση) θα καταβάλλουν τα σχετικά έξοδα συναλλαγής.</w:t>
      </w:r>
    </w:p>
    <w:p>
      <w:pPr>
        <w:spacing w:after="0" w:line="1" w:lineRule="exact"/>
        <w:rPr>
          <w:sz w:val="20"/>
          <w:szCs w:val="20"/>
          <w:color w:val="auto"/>
        </w:rPr>
      </w:pPr>
    </w:p>
    <w:p>
      <w:pPr xmlns:w="http://schemas.openxmlformats.org/wordprocessingml/2006/main">
        <w:ind w:left="60" w:right="120"/>
        <w:spacing w:after="0" w:line="337" w:lineRule="auto"/>
        <w:rPr>
          <w:sz w:val="20"/>
          <w:szCs w:val="20"/>
          <w:color w:val="auto"/>
        </w:rPr>
      </w:pPr>
      <w:r>
        <w:rPr xmlns:w="http://schemas.openxmlformats.org/wordprocessingml/2006/main">
          <w:rFonts w:ascii="Arial" w:cs="Arial" w:eastAsia="Arial" w:hAnsi="Arial"/>
          <w:sz w:val="15"/>
          <w:szCs w:val="15"/>
          <w:color w:val="auto"/>
        </w:rPr>
        <w:t xml:space="preserve">Το ποσό των τρεχουσών χρεώσεων βασίζεται στις δαπάνες για την δωδεκάμηνη περίοδο που έληξε στις 31 Δεκεμβρίου 2022.</w:t>
      </w:r>
      <w:r>
        <w:rPr xmlns:w="http://schemas.openxmlformats.org/wordprocessingml/2006/main">
          <w:rFonts w:ascii="Arial" w:cs="Arial" w:eastAsia="Arial" w:hAnsi="Arial"/>
          <w:sz w:val="15"/>
          <w:szCs w:val="15"/>
          <w:color w:val="auto"/>
        </w:rPr>
        <w:t xml:space="preserve"> Ο αριθμός αυτός ενδέχεται να ποικίλλει από έτος σε έτος.</w:t>
      </w:r>
      <w:r>
        <w:rPr xmlns:w="http://schemas.openxmlformats.org/wordprocessingml/2006/main">
          <w:rFonts w:ascii="Arial" w:cs="Arial" w:eastAsia="Arial" w:hAnsi="Arial"/>
          <w:sz w:val="15"/>
          <w:szCs w:val="15"/>
          <w:color w:val="auto"/>
        </w:rPr>
        <w:t xml:space="preserve"> Εξαιρούνται οι δαπάνες που σχετίζονται με το εμπόριο χαρτοφυλακίου, εκτός από τις δαπάνες που καταβάλλονται στον θεματοφύλακα και τυχόν επιβαρύνσεις εισόδου/εξόδου που καταβάλλονται σε υποκείμενο σύστημα συλλογικών επενδύσεων (αν υπάρχουν).</w:t>
      </w:r>
    </w:p>
    <w:p>
      <w:pPr xmlns:w="http://schemas.openxmlformats.org/wordprocessingml/2006/main">
        <w:spacing w:after="0" w:line="20" w:lineRule="exact"/>
        <w:rPr>
          <w:sz w:val="20"/>
          <w:szCs w:val="20"/>
          <w:color w:val="auto"/>
        </w:rPr>
      </w:pPr>
      <w:r>
        <w:rPr xmlns:w="http://schemas.openxmlformats.org/wordprocessingml/2006/main">
          <w:sz w:val="20"/>
          <w:szCs w:val="20"/>
          <w:color w:val="auto"/>
        </w:rPr>
        <w:br xmlns:w="http://schemas.openxmlformats.org/wordprocessingml/2006/main" w:type="column"/>
      </w:r>
    </w:p>
    <w:p>
      <w:pPr>
        <w:spacing w:after="0" w:line="167" w:lineRule="exact"/>
        <w:rPr>
          <w:sz w:val="20"/>
          <w:szCs w:val="20"/>
          <w:color w:val="auto"/>
        </w:rPr>
      </w:pPr>
    </w:p>
    <w:p>
      <w:pPr xmlns:w="http://schemas.openxmlformats.org/wordprocessingml/2006/main">
        <w:ind w:left="60"/>
        <w:spacing w:after="0"/>
        <w:rPr>
          <w:sz w:val="20"/>
          <w:szCs w:val="20"/>
          <w:color w:val="auto"/>
        </w:rPr>
      </w:pPr>
      <w:r>
        <w:rPr xmlns:w="http://schemas.openxmlformats.org/wordprocessingml/2006/main">
          <w:rFonts w:ascii="Arial" w:cs="Arial" w:eastAsia="Arial" w:hAnsi="Arial"/>
          <w:sz w:val="16"/>
          <w:szCs w:val="16"/>
          <w:color w:val="FFFFFF"/>
        </w:rPr>
        <w:t xml:space="preserve">Εφάπαξ χρεώσεις που αναλήφθηκαν πριν ή μετά την επένδυση</w:t>
      </w:r>
    </w:p>
    <w:p>
      <w:pPr>
        <w:spacing w:after="0" w:line="54" w:lineRule="exact"/>
        <w:rPr>
          <w:sz w:val="20"/>
          <w:szCs w:val="20"/>
          <w:color w:val="auto"/>
        </w:rPr>
      </w:pPr>
    </w:p>
    <w:tbl>
      <w:tblPr>
        <w:tblLayout w:type="fixed"/>
        <w:tblInd w:w="0" w:type="dxa"/>
        <w:tblCellMar>
          <w:top w:w="0" w:type="dxa"/>
          <w:left w:w="0" w:type="dxa"/>
          <w:bottom w:w="0" w:type="dxa"/>
          <w:right w:w="0" w:type="dxa"/>
        </w:tblCellMar>
      </w:tblPr>
      <w:tr>
        <w:trPr>
          <w:trHeight w:val="263"/>
        </w:trPr>
        <w:tc>
          <w:tcPr>
            <w:tcW w:w="3540" w:type="dxa"/>
            <w:vAlign w:val="bottom"/>
            <w:shd w:val="clear" w:color="auto" w:fill="000000"/>
          </w:tcPr>
          <w:p>
            <w:pPr xmlns:w="http://schemas.openxmlformats.org/wordprocessingml/2006/main">
              <w:ind w:left="60"/>
              <w:spacing w:after="0"/>
              <w:rPr>
                <w:sz w:val="20"/>
                <w:szCs w:val="20"/>
                <w:color w:val="auto"/>
              </w:rPr>
            </w:pPr>
            <w:r>
              <w:rPr xmlns:w="http://schemas.openxmlformats.org/wordprocessingml/2006/main">
                <w:rFonts w:ascii="Arial" w:cs="Arial" w:eastAsia="Arial" w:hAnsi="Arial"/>
                <w:sz w:val="16"/>
                <w:szCs w:val="16"/>
                <w:color w:val="FFFFFF"/>
              </w:rPr>
              <w:t xml:space="preserve">Χρέωση εισόδου (χρέωση εισόδου 0% κατά την διαπραγμάτευση σε</w:t>
            </w:r>
          </w:p>
        </w:tc>
        <w:tc>
          <w:tcPr>
            <w:tcW w:w="1540" w:type="dxa"/>
            <w:vAlign w:val="bottom"/>
            <w:tcBorders>
              <w:right w:val="single" w:sz="8" w:color="auto"/>
            </w:tcBorders>
          </w:tcPr>
          <w:p>
            <w:pPr xmlns:w="http://schemas.openxmlformats.org/wordprocessingml/2006/main">
              <w:jc w:val="right"/>
              <w:spacing w:after="0"/>
              <w:rPr>
                <w:sz w:val="20"/>
                <w:szCs w:val="20"/>
                <w:color w:val="auto"/>
              </w:rPr>
            </w:pPr>
            <w:r>
              <w:rPr xmlns:w="http://schemas.openxmlformats.org/wordprocessingml/2006/main">
                <w:rFonts w:ascii="Arial" w:cs="Arial" w:eastAsia="Arial" w:hAnsi="Arial"/>
                <w:sz w:val="16"/>
                <w:szCs w:val="16"/>
                <w:color w:val="auto"/>
              </w:rPr>
              <w:t xml:space="preserve">2,00%*</w:t>
            </w:r>
          </w:p>
        </w:tc>
      </w:tr>
      <w:tr>
        <w:trPr>
          <w:trHeight w:val="232"/>
        </w:trPr>
        <w:tc>
          <w:tcPr>
            <w:tcW w:w="3540" w:type="dxa"/>
            <w:vAlign w:val="bottom"/>
            <w:shd w:val="clear" w:color="auto" w:fill="000000"/>
          </w:tcPr>
          <w:p>
            <w:pPr xmlns:w="http://schemas.openxmlformats.org/wordprocessingml/2006/main">
              <w:ind w:left="60"/>
              <w:spacing w:after="0"/>
              <w:rPr>
                <w:sz w:val="20"/>
                <w:szCs w:val="20"/>
                <w:color w:val="auto"/>
              </w:rPr>
            </w:pPr>
            <w:r>
              <w:rPr xmlns:w="http://schemas.openxmlformats.org/wordprocessingml/2006/main">
                <w:rFonts w:ascii="Arial" w:cs="Arial" w:eastAsia="Arial" w:hAnsi="Arial"/>
                <w:sz w:val="16"/>
                <w:szCs w:val="16"/>
                <w:color w:val="FFFFFF"/>
              </w:rPr>
              <w:t xml:space="preserve">ανταλλαγή)</w:t>
            </w:r>
          </w:p>
        </w:tc>
        <w:tc>
          <w:tcPr>
            <w:tcW w:w="1540" w:type="dxa"/>
            <w:vAlign w:val="bottom"/>
            <w:tcBorders>
              <w:right w:val="single" w:sz="8" w:color="auto"/>
            </w:tcBorders>
          </w:tcPr>
          <w:p>
            <w:pPr>
              <w:spacing w:after="0"/>
              <w:rPr>
                <w:sz w:val="20"/>
                <w:szCs w:val="20"/>
                <w:color w:val="auto"/>
              </w:rPr>
            </w:pPr>
          </w:p>
        </w:tc>
      </w:tr>
      <w:tr>
        <w:trPr>
          <w:trHeight w:val="41"/>
        </w:trPr>
        <w:tc>
          <w:tcPr>
            <w:tcW w:w="3540" w:type="dxa"/>
            <w:vAlign w:val="bottom"/>
            <w:tcBorders>
              <w:bottom w:val="single" w:sz="8" w:color="auto"/>
            </w:tcBorders>
            <w:shd w:val="clear" w:color="auto" w:fill="000000"/>
          </w:tcPr>
          <w:p>
            <w:pPr>
              <w:spacing w:after="0"/>
              <w:rPr>
                <w:sz w:val="3"/>
                <w:szCs w:val="3"/>
                <w:color w:val="auto"/>
              </w:rPr>
            </w:pPr>
          </w:p>
        </w:tc>
        <w:tc>
          <w:tcPr>
            <w:tcW w:w="1540" w:type="dxa"/>
            <w:vAlign w:val="bottom"/>
            <w:tcBorders>
              <w:bottom w:val="single" w:sz="8" w:color="auto"/>
              <w:right w:val="single" w:sz="8" w:color="auto"/>
            </w:tcBorders>
          </w:tcPr>
          <w:p>
            <w:pPr>
              <w:spacing w:after="0"/>
              <w:rPr>
                <w:sz w:val="3"/>
                <w:szCs w:val="3"/>
                <w:color w:val="auto"/>
              </w:rPr>
            </w:pPr>
          </w:p>
        </w:tc>
      </w:tr>
      <w:tr>
        <w:trPr>
          <w:trHeight w:val="243"/>
        </w:trPr>
        <w:tc>
          <w:tcPr>
            <w:tcW w:w="3540" w:type="dxa"/>
            <w:vAlign w:val="bottom"/>
            <w:shd w:val="clear" w:color="auto" w:fill="000000"/>
          </w:tcPr>
          <w:p>
            <w:pPr xmlns:w="http://schemas.openxmlformats.org/wordprocessingml/2006/main">
              <w:ind w:left="60"/>
              <w:spacing w:after="0"/>
              <w:rPr>
                <w:sz w:val="20"/>
                <w:szCs w:val="20"/>
                <w:color w:val="auto"/>
              </w:rPr>
            </w:pPr>
            <w:r>
              <w:rPr xmlns:w="http://schemas.openxmlformats.org/wordprocessingml/2006/main">
                <w:rFonts w:ascii="Arial" w:cs="Arial" w:eastAsia="Arial" w:hAnsi="Arial"/>
                <w:sz w:val="16"/>
                <w:szCs w:val="16"/>
                <w:color w:val="FFFFFF"/>
              </w:rPr>
              <w:t xml:space="preserve">Χρέωση εξόδου (χρέωση εξόδου 0% όταν διαπραγματεύονται σε</w:t>
            </w:r>
          </w:p>
        </w:tc>
        <w:tc>
          <w:tcPr>
            <w:tcW w:w="1540" w:type="dxa"/>
            <w:vAlign w:val="bottom"/>
            <w:tcBorders>
              <w:right w:val="single" w:sz="8" w:color="auto"/>
            </w:tcBorders>
          </w:tcPr>
          <w:p>
            <w:pPr xmlns:w="http://schemas.openxmlformats.org/wordprocessingml/2006/main">
              <w:jc w:val="right"/>
              <w:spacing w:after="0"/>
              <w:rPr>
                <w:sz w:val="20"/>
                <w:szCs w:val="20"/>
                <w:color w:val="auto"/>
              </w:rPr>
            </w:pPr>
            <w:r>
              <w:rPr xmlns:w="http://schemas.openxmlformats.org/wordprocessingml/2006/main">
                <w:rFonts w:ascii="Arial" w:cs="Arial" w:eastAsia="Arial" w:hAnsi="Arial"/>
                <w:sz w:val="16"/>
                <w:szCs w:val="16"/>
                <w:color w:val="auto"/>
              </w:rPr>
              <w:t xml:space="preserve">1,00%*</w:t>
            </w:r>
          </w:p>
        </w:tc>
      </w:tr>
      <w:tr>
        <w:trPr>
          <w:trHeight w:val="232"/>
        </w:trPr>
        <w:tc>
          <w:tcPr>
            <w:tcW w:w="3540" w:type="dxa"/>
            <w:vAlign w:val="bottom"/>
            <w:shd w:val="clear" w:color="auto" w:fill="000000"/>
          </w:tcPr>
          <w:p>
            <w:pPr xmlns:w="http://schemas.openxmlformats.org/wordprocessingml/2006/main">
              <w:ind w:left="60"/>
              <w:spacing w:after="0"/>
              <w:rPr>
                <w:sz w:val="20"/>
                <w:szCs w:val="20"/>
                <w:color w:val="auto"/>
              </w:rPr>
            </w:pPr>
            <w:r>
              <w:rPr xmlns:w="http://schemas.openxmlformats.org/wordprocessingml/2006/main">
                <w:rFonts w:ascii="Arial" w:cs="Arial" w:eastAsia="Arial" w:hAnsi="Arial"/>
                <w:sz w:val="16"/>
                <w:szCs w:val="16"/>
                <w:color w:val="FFFFFF"/>
              </w:rPr>
              <w:t xml:space="preserve">ανταλλαγή)</w:t>
            </w:r>
          </w:p>
        </w:tc>
        <w:tc>
          <w:tcPr>
            <w:tcW w:w="1540" w:type="dxa"/>
            <w:vAlign w:val="bottom"/>
            <w:tcBorders>
              <w:right w:val="single" w:sz="8" w:color="auto"/>
            </w:tcBorders>
          </w:tcPr>
          <w:p>
            <w:pPr>
              <w:spacing w:after="0"/>
              <w:rPr>
                <w:sz w:val="20"/>
                <w:szCs w:val="20"/>
                <w:color w:val="auto"/>
              </w:rPr>
            </w:pPr>
          </w:p>
        </w:tc>
      </w:tr>
      <w:tr>
        <w:trPr>
          <w:trHeight w:val="41"/>
        </w:trPr>
        <w:tc>
          <w:tcPr>
            <w:tcW w:w="3540" w:type="dxa"/>
            <w:vAlign w:val="bottom"/>
            <w:tcBorders>
              <w:bottom w:val="single" w:sz="8" w:color="auto"/>
            </w:tcBorders>
            <w:shd w:val="clear" w:color="auto" w:fill="000000"/>
          </w:tcPr>
          <w:p>
            <w:pPr>
              <w:spacing w:after="0"/>
              <w:rPr>
                <w:sz w:val="3"/>
                <w:szCs w:val="3"/>
                <w:color w:val="auto"/>
              </w:rPr>
            </w:pPr>
          </w:p>
        </w:tc>
        <w:tc>
          <w:tcPr>
            <w:tcW w:w="1540" w:type="dxa"/>
            <w:vAlign w:val="bottom"/>
            <w:tcBorders>
              <w:bottom w:val="single" w:sz="8" w:color="auto"/>
              <w:right w:val="single" w:sz="8" w:color="auto"/>
            </w:tcBorders>
          </w:tcPr>
          <w:p>
            <w:pPr>
              <w:spacing w:after="0"/>
              <w:rPr>
                <w:sz w:val="3"/>
                <w:szCs w:val="3"/>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5715</wp:posOffset>
            </wp:positionH>
            <wp:positionV relativeFrom="paragraph">
              <wp:posOffset>-348615</wp:posOffset>
            </wp:positionV>
            <wp:extent cx="2245995" cy="9525"/>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33">
                      <a:extLst>
                        <a:ext uri="{28A0092B-C50C-407E-A947-70E740481C1C}"/>
                      </a:extLst>
                    </a:blip>
                    <a:srcRect/>
                    <a:stretch>
                      <a:fillRect/>
                    </a:stretch>
                  </pic:blipFill>
                  <pic:spPr bwMode="auto">
                    <a:xfrm>
                      <a:off x="0" y="0"/>
                      <a:ext cx="2245995" cy="9525"/>
                    </a:xfrm>
                    <a:prstGeom prst="rect">
                      <a:avLst/>
                    </a:prstGeom>
                    <a:noFill/>
                  </pic:spPr>
                </pic:pic>
              </a:graphicData>
            </a:graphic>
          </wp:anchor>
        </w:drawing>
        <w:drawing>
          <wp:anchor simplePos="0" relativeHeight="251657728" behindDoc="1" locked="0" layoutInCell="0" allowOverlap="1">
            <wp:simplePos x="0" y="0"/>
            <wp:positionH relativeFrom="column">
              <wp:posOffset>5715</wp:posOffset>
            </wp:positionH>
            <wp:positionV relativeFrom="paragraph">
              <wp:posOffset>-688975</wp:posOffset>
            </wp:positionV>
            <wp:extent cx="3199130" cy="9525"/>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4">
                      <a:extLst>
                        <a:ext uri="{28A0092B-C50C-407E-A947-70E740481C1C}"/>
                      </a:extLst>
                    </a:blip>
                    <a:srcRect/>
                    <a:stretch>
                      <a:fillRect/>
                    </a:stretch>
                  </pic:blipFill>
                  <pic:spPr bwMode="auto">
                    <a:xfrm>
                      <a:off x="0" y="0"/>
                      <a:ext cx="3199130" cy="9525"/>
                    </a:xfrm>
                    <a:prstGeom prst="rect">
                      <a:avLst/>
                    </a:prstGeom>
                    <a:noFill/>
                  </pic:spPr>
                </pic:pic>
              </a:graphicData>
            </a:graphic>
          </wp:anchor>
        </w:drawing>
      </w:r>
    </w:p>
    <w:p>
      <w:pPr>
        <w:spacing w:after="0" w:line="15" w:lineRule="exact"/>
        <w:rPr>
          <w:sz w:val="20"/>
          <w:szCs w:val="20"/>
          <w:color w:val="auto"/>
        </w:rPr>
      </w:pPr>
    </w:p>
    <w:p>
      <w:pPr xmlns:w="http://schemas.openxmlformats.org/wordprocessingml/2006/main">
        <w:ind w:left="100" w:right="240"/>
        <w:spacing w:after="0" w:line="340" w:lineRule="auto"/>
        <w:rPr>
          <w:sz w:val="20"/>
          <w:szCs w:val="20"/>
          <w:color w:val="auto"/>
        </w:rPr>
      </w:pPr>
      <w:r>
        <w:rPr xmlns:w="http://schemas.openxmlformats.org/wordprocessingml/2006/main">
          <w:rFonts w:ascii="Arial" w:cs="Arial" w:eastAsia="Arial" w:hAnsi="Arial"/>
          <w:sz w:val="14"/>
          <w:szCs w:val="14"/>
          <w:color w:val="auto"/>
        </w:rPr>
        <w:t xml:space="preserve">Αυτό είναι το μέγιστο που θα μπορούσε να ληφθεί από τα χρήματά σας πριν επενδυθούν ή πριν από τα έσοδα των επενδύσεών σας καταβάλλονται.</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5715</wp:posOffset>
            </wp:positionH>
            <wp:positionV relativeFrom="paragraph">
              <wp:posOffset>-17145</wp:posOffset>
            </wp:positionV>
            <wp:extent cx="3208020" cy="193040"/>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5">
                      <a:extLst>
                        <a:ext uri="{28A0092B-C50C-407E-A947-70E740481C1C}"/>
                      </a:extLst>
                    </a:blip>
                    <a:srcRect/>
                    <a:stretch>
                      <a:fillRect/>
                    </a:stretch>
                  </pic:blipFill>
                  <pic:spPr bwMode="auto">
                    <a:xfrm>
                      <a:off x="0" y="0"/>
                      <a:ext cx="3208020" cy="193040"/>
                    </a:xfrm>
                    <a:prstGeom prst="rect">
                      <a:avLst/>
                    </a:prstGeom>
                    <a:noFill/>
                  </pic:spPr>
                </pic:pic>
              </a:graphicData>
            </a:graphic>
          </wp:anchor>
        </w:drawing>
      </w:r>
    </w:p>
    <w:p>
      <w:pPr xmlns:w="http://schemas.openxmlformats.org/wordprocessingml/2006/main">
        <w:ind w:left="60"/>
        <w:spacing w:after="0"/>
        <w:rPr>
          <w:sz w:val="20"/>
          <w:szCs w:val="20"/>
          <w:color w:val="auto"/>
        </w:rPr>
      </w:pPr>
      <w:r>
        <w:rPr xmlns:w="http://schemas.openxmlformats.org/wordprocessingml/2006/main">
          <w:rFonts w:ascii="Arial" w:cs="Arial" w:eastAsia="Arial" w:hAnsi="Arial"/>
          <w:sz w:val="16"/>
          <w:szCs w:val="16"/>
          <w:color w:val="FFFFFF"/>
        </w:rPr>
        <w:t xml:space="preserve">Επιβαρύνσεις που εισπράττονται από το Ταμείο κατά τη διάρκεια κάθε έτους</w:t>
      </w:r>
    </w:p>
    <w:p>
      <w:pPr>
        <w:spacing w:after="0" w:line="71" w:lineRule="exact"/>
        <w:rPr>
          <w:sz w:val="20"/>
          <w:szCs w:val="20"/>
          <w:color w:val="auto"/>
        </w:rPr>
      </w:pPr>
    </w:p>
    <w:tbl>
      <w:tblPr>
        <w:tblLayout w:type="fixed"/>
        <w:tblInd w:w="0" w:type="dxa"/>
        <w:tblCellMar>
          <w:top w:w="0" w:type="dxa"/>
          <w:left w:w="0" w:type="dxa"/>
          <w:bottom w:w="0" w:type="dxa"/>
          <w:right w:w="0" w:type="dxa"/>
        </w:tblCellMar>
      </w:tblPr>
      <w:tr>
        <w:trPr>
          <w:trHeight w:val="234"/>
        </w:trPr>
        <w:tc>
          <w:tcPr>
            <w:tcW w:w="3540" w:type="dxa"/>
            <w:vAlign w:val="bottom"/>
            <w:shd w:val="clear" w:color="auto" w:fill="000000"/>
          </w:tcPr>
          <w:p>
            <w:pPr xmlns:w="http://schemas.openxmlformats.org/wordprocessingml/2006/main">
              <w:ind w:left="60"/>
              <w:spacing w:after="0"/>
              <w:rPr>
                <w:sz w:val="20"/>
                <w:szCs w:val="20"/>
                <w:color w:val="auto"/>
              </w:rPr>
            </w:pPr>
            <w:r>
              <w:rPr xmlns:w="http://schemas.openxmlformats.org/wordprocessingml/2006/main">
                <w:rFonts w:ascii="Arial" w:cs="Arial" w:eastAsia="Arial" w:hAnsi="Arial"/>
                <w:sz w:val="16"/>
                <w:szCs w:val="16"/>
                <w:color w:val="FFFFFF"/>
              </w:rPr>
              <w:t xml:space="preserve">Τρέχουσες χρεώσεις</w:t>
            </w:r>
          </w:p>
        </w:tc>
        <w:tc>
          <w:tcPr>
            <w:tcW w:w="560" w:type="dxa"/>
            <w:vAlign w:val="bottom"/>
          </w:tcPr>
          <w:p>
            <w:pPr>
              <w:spacing w:after="0"/>
              <w:rPr>
                <w:sz w:val="20"/>
                <w:szCs w:val="20"/>
                <w:color w:val="auto"/>
              </w:rPr>
            </w:pPr>
          </w:p>
        </w:tc>
        <w:tc>
          <w:tcPr>
            <w:tcW w:w="980" w:type="dxa"/>
            <w:vAlign w:val="bottom"/>
            <w:tcBorders>
              <w:right w:val="single" w:sz="8" w:color="auto"/>
            </w:tcBorders>
          </w:tcPr>
          <w:p>
            <w:pPr xmlns:w="http://schemas.openxmlformats.org/wordprocessingml/2006/main">
              <w:jc w:val="right"/>
              <w:spacing w:after="0"/>
              <w:rPr>
                <w:sz w:val="20"/>
                <w:szCs w:val="20"/>
                <w:color w:val="auto"/>
              </w:rPr>
            </w:pPr>
            <w:r>
              <w:rPr xmlns:w="http://schemas.openxmlformats.org/wordprocessingml/2006/main">
                <w:rFonts w:ascii="Arial" w:cs="Arial" w:eastAsia="Arial" w:hAnsi="Arial"/>
                <w:sz w:val="16"/>
                <w:szCs w:val="16"/>
                <w:color w:val="auto"/>
              </w:rPr>
              <w:t xml:space="preserve">0,46%</w:t>
            </w:r>
          </w:p>
        </w:tc>
      </w:tr>
      <w:tr>
        <w:trPr>
          <w:trHeight w:val="24"/>
        </w:trPr>
        <w:tc>
          <w:tcPr>
            <w:tcW w:w="3540" w:type="dxa"/>
            <w:vAlign w:val="bottom"/>
            <w:tcBorders>
              <w:bottom w:val="single" w:sz="8" w:color="auto"/>
            </w:tcBorders>
            <w:shd w:val="clear" w:color="auto" w:fill="000000"/>
          </w:tcPr>
          <w:p>
            <w:pPr>
              <w:spacing w:after="0"/>
              <w:rPr>
                <w:sz w:val="2"/>
                <w:szCs w:val="2"/>
                <w:color w:val="auto"/>
              </w:rPr>
            </w:pPr>
          </w:p>
        </w:tc>
        <w:tc>
          <w:tcPr>
            <w:tcW w:w="560" w:type="dxa"/>
            <w:vAlign w:val="bottom"/>
            <w:tcBorders>
              <w:bottom w:val="single" w:sz="8" w:color="auto"/>
            </w:tcBorders>
          </w:tcPr>
          <w:p>
            <w:pPr>
              <w:spacing w:after="0"/>
              <w:rPr>
                <w:sz w:val="2"/>
                <w:szCs w:val="2"/>
                <w:color w:val="auto"/>
              </w:rPr>
            </w:pPr>
          </w:p>
        </w:tc>
        <w:tc>
          <w:tcPr>
            <w:tcW w:w="980" w:type="dxa"/>
            <w:vAlign w:val="bottom"/>
            <w:tcBorders>
              <w:bottom w:val="single" w:sz="8" w:color="auto"/>
              <w:right w:val="single" w:sz="8" w:color="auto"/>
            </w:tcBorders>
          </w:tcPr>
          <w:p>
            <w:pPr>
              <w:spacing w:after="0"/>
              <w:rPr>
                <w:sz w:val="2"/>
                <w:szCs w:val="2"/>
                <w:color w:val="auto"/>
              </w:rPr>
            </w:pPr>
          </w:p>
        </w:tc>
      </w:tr>
      <w:tr>
        <w:trPr>
          <w:trHeight w:val="264"/>
        </w:trPr>
        <w:tc>
          <w:tcPr>
            <w:tcW w:w="4100" w:type="dxa"/>
            <w:vAlign w:val="bottom"/>
            <w:tcBorders>
              <w:bottom w:val="single" w:sz="8" w:color="auto"/>
            </w:tcBorders>
            <w:gridSpan w:val="2"/>
            <w:shd w:val="clear" w:color="auto" w:fill="000000"/>
          </w:tcPr>
          <w:p>
            <w:pPr xmlns:w="http://schemas.openxmlformats.org/wordprocessingml/2006/main">
              <w:ind w:left="60"/>
              <w:spacing w:after="0"/>
              <w:rPr>
                <w:sz w:val="20"/>
                <w:szCs w:val="20"/>
                <w:color w:val="auto"/>
              </w:rPr>
            </w:pPr>
            <w:r>
              <w:rPr xmlns:w="http://schemas.openxmlformats.org/wordprocessingml/2006/main">
                <w:rFonts w:ascii="Arial" w:cs="Arial" w:eastAsia="Arial" w:hAnsi="Arial"/>
                <w:sz w:val="16"/>
                <w:szCs w:val="16"/>
                <w:color w:val="FFFFFF"/>
              </w:rPr>
              <w:t xml:space="preserve">Επιβαρύνσεις που εισπράττονται από το Ταμείο υπό ορισμένους όρους</w:t>
            </w:r>
          </w:p>
        </w:tc>
        <w:tc>
          <w:tcPr>
            <w:tcW w:w="980" w:type="dxa"/>
            <w:vAlign w:val="bottom"/>
            <w:tcBorders>
              <w:bottom w:val="single" w:sz="8" w:color="auto"/>
              <w:right w:val="single" w:sz="8" w:color="auto"/>
            </w:tcBorders>
            <w:shd w:val="clear" w:color="auto" w:fill="000000"/>
          </w:tcPr>
          <w:p>
            <w:pPr>
              <w:spacing w:after="0"/>
              <w:rPr>
                <w:sz w:val="22"/>
                <w:szCs w:val="22"/>
                <w:color w:val="auto"/>
              </w:rPr>
            </w:pPr>
          </w:p>
        </w:tc>
      </w:tr>
      <w:tr>
        <w:trPr>
          <w:trHeight w:val="242"/>
        </w:trPr>
        <w:tc>
          <w:tcPr>
            <w:tcW w:w="3540" w:type="dxa"/>
            <w:vAlign w:val="bottom"/>
            <w:tcBorders>
              <w:bottom w:val="single" w:sz="8" w:color="auto"/>
            </w:tcBorders>
            <w:shd w:val="clear" w:color="auto" w:fill="000000"/>
          </w:tcPr>
          <w:p>
            <w:pPr xmlns:w="http://schemas.openxmlformats.org/wordprocessingml/2006/main">
              <w:ind w:left="60"/>
              <w:spacing w:after="0"/>
              <w:rPr>
                <w:sz w:val="20"/>
                <w:szCs w:val="20"/>
                <w:color w:val="auto"/>
              </w:rPr>
            </w:pPr>
            <w:r>
              <w:rPr xmlns:w="http://schemas.openxmlformats.org/wordprocessingml/2006/main">
                <w:rFonts w:ascii="Arial" w:cs="Arial" w:eastAsia="Arial" w:hAnsi="Arial"/>
                <w:sz w:val="16"/>
                <w:szCs w:val="16"/>
                <w:color w:val="FFFFFF"/>
              </w:rPr>
              <w:t xml:space="preserve">Χρέωση απόδοσης</w:t>
            </w:r>
          </w:p>
        </w:tc>
        <w:tc>
          <w:tcPr>
            <w:tcW w:w="560" w:type="dxa"/>
            <w:vAlign w:val="bottom"/>
            <w:tcBorders>
              <w:bottom w:val="single" w:sz="8" w:color="auto"/>
            </w:tcBorders>
          </w:tcPr>
          <w:p>
            <w:pPr>
              <w:spacing w:after="0"/>
              <w:rPr>
                <w:sz w:val="21"/>
                <w:szCs w:val="21"/>
                <w:color w:val="auto"/>
              </w:rPr>
            </w:pPr>
          </w:p>
        </w:tc>
        <w:tc>
          <w:tcPr>
            <w:tcW w:w="980" w:type="dxa"/>
            <w:vAlign w:val="bottom"/>
            <w:tcBorders>
              <w:bottom w:val="single" w:sz="8" w:color="auto"/>
              <w:right w:val="single" w:sz="8" w:color="auto"/>
            </w:tcBorders>
          </w:tcPr>
          <w:p>
            <w:pPr xmlns:w="http://schemas.openxmlformats.org/wordprocessingml/2006/main">
              <w:jc w:val="right"/>
              <w:spacing w:after="0"/>
              <w:rPr>
                <w:sz w:val="20"/>
                <w:szCs w:val="20"/>
                <w:color w:val="auto"/>
              </w:rPr>
            </w:pPr>
            <w:r>
              <w:rPr xmlns:w="http://schemas.openxmlformats.org/wordprocessingml/2006/main">
                <w:rFonts w:ascii="Arial" w:cs="Arial" w:eastAsia="Arial" w:hAnsi="Arial"/>
                <w:sz w:val="16"/>
                <w:szCs w:val="16"/>
                <w:color w:val="auto"/>
              </w:rPr>
              <w:t xml:space="preserve">Κανένα</w:t>
            </w: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5715</wp:posOffset>
            </wp:positionH>
            <wp:positionV relativeFrom="paragraph">
              <wp:posOffset>-358775</wp:posOffset>
            </wp:positionV>
            <wp:extent cx="3199130" cy="9525"/>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6">
                      <a:extLst>
                        <a:ext uri="{28A0092B-C50C-407E-A947-70E740481C1C}"/>
                      </a:extLst>
                    </a:blip>
                    <a:srcRect/>
                    <a:stretch>
                      <a:fillRect/>
                    </a:stretch>
                  </pic:blipFill>
                  <pic:spPr bwMode="auto">
                    <a:xfrm>
                      <a:off x="0" y="0"/>
                      <a:ext cx="3199130" cy="9525"/>
                    </a:xfrm>
                    <a:prstGeom prst="rect">
                      <a:avLst/>
                    </a:prstGeom>
                    <a:noFill/>
                  </pic:spPr>
                </pic:pic>
              </a:graphicData>
            </a:graphic>
          </wp:anchor>
        </w:drawing>
        <w:drawing>
          <wp:anchor simplePos="0" relativeHeight="251657728" behindDoc="1" locked="0" layoutInCell="0" allowOverlap="1">
            <wp:simplePos x="0" y="0"/>
            <wp:positionH relativeFrom="column">
              <wp:posOffset>5715</wp:posOffset>
            </wp:positionH>
            <wp:positionV relativeFrom="paragraph">
              <wp:posOffset>-165735</wp:posOffset>
            </wp:positionV>
            <wp:extent cx="3199130" cy="9525"/>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7">
                      <a:extLst>
                        <a:ext uri="{28A0092B-C50C-407E-A947-70E740481C1C}"/>
                      </a:extLst>
                    </a:blip>
                    <a:srcRect/>
                    <a:stretch>
                      <a:fillRect/>
                    </a:stretch>
                  </pic:blipFill>
                  <pic:spPr bwMode="auto">
                    <a:xfrm>
                      <a:off x="0" y="0"/>
                      <a:ext cx="3199130" cy="9525"/>
                    </a:xfrm>
                    <a:prstGeom prst="rect">
                      <a:avLst/>
                    </a:prstGeom>
                    <a:noFill/>
                  </pic:spPr>
                </pic:pic>
              </a:graphicData>
            </a:graphic>
          </wp:anchor>
        </w:drawing>
      </w:r>
    </w:p>
    <w:p>
      <w:pPr>
        <w:spacing w:after="0" w:line="470" w:lineRule="exact"/>
        <w:rPr>
          <w:sz w:val="20"/>
          <w:szCs w:val="20"/>
          <w:color w:val="auto"/>
        </w:rPr>
      </w:pPr>
    </w:p>
    <w:p>
      <w:pPr>
        <w:sectPr>
          <w:pgSz w:w="11900" w:h="16838" w:orient="portrait"/>
          <w:cols w:equalWidth="0" w:num="2">
            <w:col w:w="5360" w:space="240"/>
            <w:col w:w="5060"/>
          </w:cols>
          <w:pgMar w:left="620" w:top="609" w:right="626" w:bottom="0" w:gutter="0" w:footer="0" w:header="0"/>
          <w:type w:val="continuous"/>
        </w:sectPr>
      </w:pPr>
    </w:p>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26"/>
          <w:szCs w:val="26"/>
          <w:color w:val="auto"/>
        </w:rPr>
        <w:t xml:space="preserve">Προηγούμενη απόδοση</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2540</wp:posOffset>
            </wp:positionH>
            <wp:positionV relativeFrom="paragraph">
              <wp:posOffset>22860</wp:posOffset>
            </wp:positionV>
            <wp:extent cx="6767830" cy="9525"/>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8">
                      <a:extLst>
                        <a:ext uri="{28A0092B-C50C-407E-A947-70E740481C1C}"/>
                      </a:extLst>
                    </a:blip>
                    <a:srcRect/>
                    <a:stretch>
                      <a:fillRect/>
                    </a:stretch>
                  </pic:blipFill>
                  <pic:spPr bwMode="auto">
                    <a:xfrm>
                      <a:off x="0" y="0"/>
                      <a:ext cx="6767830" cy="9525"/>
                    </a:xfrm>
                    <a:prstGeom prst="rect">
                      <a:avLst/>
                    </a:prstGeom>
                    <a:noFill/>
                  </pic:spPr>
                </pic:pic>
              </a:graphicData>
            </a:graphic>
          </wp:anchor>
        </w:drawing>
      </w:r>
    </w:p>
    <w:p>
      <w:pPr>
        <w:spacing w:after="0" w:line="46" w:lineRule="exact"/>
        <w:rPr>
          <w:sz w:val="20"/>
          <w:szCs w:val="20"/>
          <w:color w:val="auto"/>
        </w:rPr>
      </w:pPr>
    </w:p>
    <w:tbl>
      <w:tblPr>
        <w:tblLayout w:type="fixed"/>
        <w:tblInd w:w="0" w:type="dxa"/>
        <w:tblCellMar>
          <w:top w:w="0" w:type="dxa"/>
          <w:left w:w="0" w:type="dxa"/>
          <w:bottom w:w="0" w:type="dxa"/>
          <w:right w:w="0" w:type="dxa"/>
        </w:tblCellMar>
      </w:tblPr>
      <w:tr>
        <w:trPr>
          <w:trHeight w:val="204"/>
        </w:trPr>
        <w:tc>
          <w:tcPr>
            <w:tcW w:w="3600" w:type="dxa"/>
            <w:vAlign w:val="bottom"/>
          </w:tcPr>
          <w:p>
            <w:pPr xmlns:w="http://schemas.openxmlformats.org/wordprocessingml/2006/main">
              <w:spacing w:after="0"/>
              <w:rPr>
                <w:sz w:val="20"/>
                <w:szCs w:val="20"/>
                <w:color w:val="auto"/>
              </w:rPr>
            </w:pPr>
            <w:r>
              <w:rPr xmlns:w="http://schemas.openxmlformats.org/wordprocessingml/2006/main">
                <w:rFonts w:ascii="Arial" w:cs="Arial" w:eastAsia="Arial" w:hAnsi="Arial"/>
                <w:sz w:val="16"/>
                <w:szCs w:val="16"/>
                <w:color w:val="auto"/>
              </w:rPr>
              <w:t xml:space="preserve">Οι προηγούμενες επιδόσεις δεν αποτελούν οδηγό για το μέλλον</w:t>
            </w:r>
          </w:p>
        </w:tc>
        <w:tc>
          <w:tcPr>
            <w:tcW w:w="2980" w:type="dxa"/>
            <w:vAlign w:val="bottom"/>
            <w:gridSpan w:val="6"/>
          </w:tcPr>
          <w:p>
            <w:pPr xmlns:w="http://schemas.openxmlformats.org/wordprocessingml/2006/main">
              <w:jc w:val="right"/>
              <w:ind w:right="140"/>
              <w:spacing w:after="0"/>
              <w:rPr>
                <w:sz w:val="20"/>
                <w:szCs w:val="20"/>
                <w:color w:val="auto"/>
              </w:rPr>
            </w:pPr>
            <w:r>
              <w:rPr xmlns:w="http://schemas.openxmlformats.org/wordprocessingml/2006/main">
                <w:rFonts w:ascii="Arial" w:cs="Arial" w:eastAsia="Arial" w:hAnsi="Arial"/>
                <w:sz w:val="16"/>
                <w:szCs w:val="16"/>
                <w:color w:val="auto"/>
                <w:w w:val="89"/>
              </w:rPr>
              <w:t xml:space="preserve">Ιστορική επίδοση έως τις 31 Δεκεμβρίου 2022</w:t>
            </w:r>
          </w:p>
        </w:tc>
        <w:tc>
          <w:tcPr>
            <w:tcW w:w="20" w:type="dxa"/>
            <w:vAlign w:val="bottom"/>
          </w:tcPr>
          <w:p>
            <w:pPr>
              <w:spacing w:after="0"/>
              <w:rPr>
                <w:sz w:val="17"/>
                <w:szCs w:val="17"/>
                <w:color w:val="auto"/>
              </w:rPr>
            </w:pPr>
          </w:p>
        </w:tc>
        <w:tc>
          <w:tcPr>
            <w:tcW w:w="56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56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56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56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56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560" w:type="dxa"/>
            <w:vAlign w:val="bottom"/>
          </w:tcPr>
          <w:p>
            <w:pPr>
              <w:spacing w:after="0"/>
              <w:rPr>
                <w:sz w:val="17"/>
                <w:szCs w:val="17"/>
                <w:color w:val="auto"/>
              </w:rPr>
            </w:pPr>
          </w:p>
        </w:tc>
        <w:tc>
          <w:tcPr>
            <w:tcW w:w="20" w:type="dxa"/>
            <w:vAlign w:val="bottom"/>
          </w:tcPr>
          <w:p>
            <w:pPr>
              <w:spacing w:after="0"/>
              <w:rPr>
                <w:sz w:val="17"/>
                <w:szCs w:val="17"/>
                <w:color w:val="auto"/>
              </w:rPr>
            </w:pPr>
          </w:p>
        </w:tc>
        <w:tc>
          <w:tcPr>
            <w:tcW w:w="58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32"/>
        </w:trPr>
        <w:tc>
          <w:tcPr>
            <w:tcW w:w="3600" w:type="dxa"/>
            <w:vAlign w:val="bottom"/>
          </w:tcPr>
          <w:p>
            <w:pPr xmlns:w="http://schemas.openxmlformats.org/wordprocessingml/2006/main">
              <w:spacing w:after="0"/>
              <w:rPr>
                <w:sz w:val="20"/>
                <w:szCs w:val="20"/>
                <w:color w:val="auto"/>
              </w:rPr>
            </w:pPr>
            <w:r>
              <w:rPr xmlns:w="http://schemas.openxmlformats.org/wordprocessingml/2006/main">
                <w:rFonts w:ascii="Arial" w:cs="Arial" w:eastAsia="Arial" w:hAnsi="Arial"/>
                <w:sz w:val="16"/>
                <w:szCs w:val="16"/>
                <w:color w:val="auto"/>
              </w:rPr>
              <w:t xml:space="preserve">επιδόσεις.</w:t>
            </w:r>
          </w:p>
        </w:tc>
        <w:tc>
          <w:tcPr>
            <w:tcW w:w="140" w:type="dxa"/>
            <w:vAlign w:val="bottom"/>
          </w:tcPr>
          <w:p>
            <w:pPr>
              <w:spacing w:after="0"/>
              <w:rPr>
                <w:sz w:val="20"/>
                <w:szCs w:val="20"/>
                <w:color w:val="auto"/>
              </w:rPr>
            </w:pPr>
          </w:p>
        </w:tc>
        <w:tc>
          <w:tcPr>
            <w:tcW w:w="1120" w:type="dxa"/>
            <w:vAlign w:val="bottom"/>
          </w:tcPr>
          <w:p>
            <w:pPr>
              <w:spacing w:after="0"/>
              <w:rPr>
                <w:sz w:val="20"/>
                <w:szCs w:val="20"/>
                <w:color w:val="auto"/>
              </w:rPr>
            </w:pPr>
          </w:p>
        </w:tc>
        <w:tc>
          <w:tcPr>
            <w:tcW w:w="580" w:type="dxa"/>
            <w:vAlign w:val="bottom"/>
          </w:tcPr>
          <w:p>
            <w:pPr>
              <w:spacing w:after="0"/>
              <w:rPr>
                <w:sz w:val="20"/>
                <w:szCs w:val="20"/>
                <w:color w:val="auto"/>
              </w:rPr>
            </w:pPr>
          </w:p>
        </w:tc>
        <w:tc>
          <w:tcPr>
            <w:tcW w:w="56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56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56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56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56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56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56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56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58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32"/>
        </w:trPr>
        <w:tc>
          <w:tcPr>
            <w:tcW w:w="3600" w:type="dxa"/>
            <w:vAlign w:val="bottom"/>
          </w:tcPr>
          <w:p>
            <w:pPr xmlns:w="http://schemas.openxmlformats.org/wordprocessingml/2006/main">
              <w:spacing w:after="0"/>
              <w:rPr>
                <w:sz w:val="20"/>
                <w:szCs w:val="20"/>
                <w:color w:val="auto"/>
              </w:rPr>
            </w:pPr>
            <w:r>
              <w:rPr xmlns:w="http://schemas.openxmlformats.org/wordprocessingml/2006/main">
                <w:rFonts w:ascii="Arial" w:cs="Arial" w:eastAsia="Arial" w:hAnsi="Arial"/>
                <w:sz w:val="16"/>
                <w:szCs w:val="16"/>
                <w:color w:val="auto"/>
                <w:w w:val="99"/>
              </w:rPr>
              <w:t xml:space="preserve">Το διάγραμμα απεικονίζει τις ετήσιες επιδόσεις του Ταμείου</w:t>
            </w:r>
          </w:p>
        </w:tc>
        <w:tc>
          <w:tcPr>
            <w:tcW w:w="140" w:type="dxa"/>
            <w:vAlign w:val="bottom"/>
          </w:tcPr>
          <w:p>
            <w:pPr>
              <w:spacing w:after="0"/>
              <w:rPr>
                <w:sz w:val="20"/>
                <w:szCs w:val="20"/>
                <w:color w:val="auto"/>
              </w:rPr>
            </w:pPr>
          </w:p>
        </w:tc>
        <w:tc>
          <w:tcPr>
            <w:tcW w:w="1120" w:type="dxa"/>
            <w:vAlign w:val="bottom"/>
          </w:tcPr>
          <w:p>
            <w:pPr>
              <w:spacing w:after="0"/>
              <w:rPr>
                <w:sz w:val="20"/>
                <w:szCs w:val="20"/>
                <w:color w:val="auto"/>
              </w:rPr>
            </w:pPr>
          </w:p>
        </w:tc>
        <w:tc>
          <w:tcPr>
            <w:tcW w:w="580" w:type="dxa"/>
            <w:vAlign w:val="bottom"/>
          </w:tcPr>
          <w:p>
            <w:pPr>
              <w:spacing w:after="0"/>
              <w:rPr>
                <w:sz w:val="20"/>
                <w:szCs w:val="20"/>
                <w:color w:val="auto"/>
              </w:rPr>
            </w:pPr>
          </w:p>
        </w:tc>
        <w:tc>
          <w:tcPr>
            <w:tcW w:w="56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56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56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56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56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56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56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56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58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32"/>
        </w:trPr>
        <w:tc>
          <w:tcPr>
            <w:tcW w:w="3600" w:type="dxa"/>
            <w:vAlign w:val="bottom"/>
          </w:tcPr>
          <w:p>
            <w:pPr xmlns:w="http://schemas.openxmlformats.org/wordprocessingml/2006/main">
              <w:spacing w:after="0"/>
              <w:rPr>
                <w:sz w:val="20"/>
                <w:szCs w:val="20"/>
                <w:color w:val="auto"/>
              </w:rPr>
            </w:pPr>
            <w:r>
              <w:rPr xmlns:w="http://schemas.openxmlformats.org/wordprocessingml/2006/main">
                <w:rFonts w:ascii="Arial" w:cs="Arial" w:eastAsia="Arial" w:hAnsi="Arial"/>
                <w:sz w:val="16"/>
                <w:szCs w:val="16"/>
                <w:color w:val="auto"/>
              </w:rPr>
              <w:t xml:space="preserve">ευρώ για κάθε πλήρες ημερολογιακό έτος κατά τη διάρκεια της περιόδου</w:t>
            </w:r>
          </w:p>
        </w:tc>
        <w:tc>
          <w:tcPr>
            <w:tcW w:w="140" w:type="dxa"/>
            <w:vAlign w:val="bottom"/>
          </w:tcPr>
          <w:p>
            <w:pPr>
              <w:spacing w:after="0"/>
              <w:rPr>
                <w:sz w:val="20"/>
                <w:szCs w:val="20"/>
                <w:color w:val="auto"/>
              </w:rPr>
            </w:pPr>
          </w:p>
        </w:tc>
        <w:tc>
          <w:tcPr>
            <w:tcW w:w="1120" w:type="dxa"/>
            <w:vAlign w:val="bottom"/>
          </w:tcPr>
          <w:p>
            <w:pPr>
              <w:spacing w:after="0"/>
              <w:rPr>
                <w:sz w:val="20"/>
                <w:szCs w:val="20"/>
                <w:color w:val="auto"/>
              </w:rPr>
            </w:pPr>
          </w:p>
        </w:tc>
        <w:tc>
          <w:tcPr>
            <w:tcW w:w="580" w:type="dxa"/>
            <w:vAlign w:val="bottom"/>
          </w:tcPr>
          <w:p>
            <w:pPr>
              <w:spacing w:after="0"/>
              <w:rPr>
                <w:sz w:val="20"/>
                <w:szCs w:val="20"/>
                <w:color w:val="auto"/>
              </w:rPr>
            </w:pPr>
          </w:p>
        </w:tc>
        <w:tc>
          <w:tcPr>
            <w:tcW w:w="56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56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56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56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56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56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56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56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58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32"/>
        </w:trPr>
        <w:tc>
          <w:tcPr>
            <w:tcW w:w="3600" w:type="dxa"/>
            <w:vAlign w:val="bottom"/>
          </w:tcPr>
          <w:p>
            <w:pPr xmlns:w="http://schemas.openxmlformats.org/wordprocessingml/2006/main">
              <w:spacing w:after="0"/>
              <w:rPr>
                <w:sz w:val="20"/>
                <w:szCs w:val="20"/>
                <w:color w:val="auto"/>
              </w:rPr>
            </w:pPr>
            <w:r>
              <w:rPr xmlns:w="http://schemas.openxmlformats.org/wordprocessingml/2006/main">
                <w:rFonts w:ascii="Arial" w:cs="Arial" w:eastAsia="Arial" w:hAnsi="Arial"/>
                <w:sz w:val="16"/>
                <w:szCs w:val="16"/>
                <w:color w:val="auto"/>
              </w:rPr>
              <w:t xml:space="preserve">που εμφανίζονται στο γράφημα.</w:t>
            </w:r>
            <w:r>
              <w:rPr xmlns:w="http://schemas.openxmlformats.org/wordprocessingml/2006/main">
                <w:rFonts w:ascii="Arial" w:cs="Arial" w:eastAsia="Arial" w:hAnsi="Arial"/>
                <w:sz w:val="16"/>
                <w:szCs w:val="16"/>
                <w:color w:val="auto"/>
              </w:rPr>
              <w:t xml:space="preserve"> Εκφράζεται ως</w:t>
            </w:r>
          </w:p>
        </w:tc>
        <w:tc>
          <w:tcPr>
            <w:tcW w:w="140" w:type="dxa"/>
            <w:vAlign w:val="bottom"/>
          </w:tcPr>
          <w:p>
            <w:pPr>
              <w:spacing w:after="0"/>
              <w:rPr>
                <w:sz w:val="20"/>
                <w:szCs w:val="20"/>
                <w:color w:val="auto"/>
              </w:rPr>
            </w:pPr>
          </w:p>
        </w:tc>
        <w:tc>
          <w:tcPr>
            <w:tcW w:w="1120" w:type="dxa"/>
            <w:vAlign w:val="bottom"/>
          </w:tcPr>
          <w:p>
            <w:pPr>
              <w:spacing w:after="0"/>
              <w:rPr>
                <w:sz w:val="20"/>
                <w:szCs w:val="20"/>
                <w:color w:val="auto"/>
              </w:rPr>
            </w:pPr>
          </w:p>
        </w:tc>
        <w:tc>
          <w:tcPr>
            <w:tcW w:w="580" w:type="dxa"/>
            <w:vAlign w:val="bottom"/>
          </w:tcPr>
          <w:p>
            <w:pPr>
              <w:spacing w:after="0"/>
              <w:rPr>
                <w:sz w:val="20"/>
                <w:szCs w:val="20"/>
                <w:color w:val="auto"/>
              </w:rPr>
            </w:pPr>
          </w:p>
        </w:tc>
        <w:tc>
          <w:tcPr>
            <w:tcW w:w="56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56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56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56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56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56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56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56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58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32"/>
        </w:trPr>
        <w:tc>
          <w:tcPr>
            <w:tcW w:w="3600" w:type="dxa"/>
            <w:vAlign w:val="bottom"/>
          </w:tcPr>
          <w:p>
            <w:pPr xmlns:w="http://schemas.openxmlformats.org/wordprocessingml/2006/main">
              <w:spacing w:after="0"/>
              <w:rPr>
                <w:sz w:val="20"/>
                <w:szCs w:val="20"/>
                <w:color w:val="auto"/>
              </w:rPr>
            </w:pPr>
            <w:r>
              <w:rPr xmlns:w="http://schemas.openxmlformats.org/wordprocessingml/2006/main">
                <w:rFonts w:ascii="Arial" w:cs="Arial" w:eastAsia="Arial" w:hAnsi="Arial"/>
                <w:sz w:val="16"/>
                <w:szCs w:val="16"/>
                <w:color w:val="auto"/>
                <w:w w:val="98"/>
              </w:rPr>
              <w:t xml:space="preserve">ποσοστιαία μεταβολή της καθαρής αξίας του ενεργητικού του Ταμείου σε</w:t>
            </w:r>
          </w:p>
        </w:tc>
        <w:tc>
          <w:tcPr>
            <w:tcW w:w="140" w:type="dxa"/>
            <w:vAlign w:val="bottom"/>
          </w:tcPr>
          <w:p>
            <w:pPr>
              <w:spacing w:after="0"/>
              <w:rPr>
                <w:sz w:val="20"/>
                <w:szCs w:val="20"/>
                <w:color w:val="auto"/>
              </w:rPr>
            </w:pPr>
          </w:p>
        </w:tc>
        <w:tc>
          <w:tcPr>
            <w:tcW w:w="1120" w:type="dxa"/>
            <w:vAlign w:val="bottom"/>
          </w:tcPr>
          <w:p>
            <w:pPr>
              <w:spacing w:after="0"/>
              <w:rPr>
                <w:sz w:val="20"/>
                <w:szCs w:val="20"/>
                <w:color w:val="auto"/>
              </w:rPr>
            </w:pPr>
          </w:p>
        </w:tc>
        <w:tc>
          <w:tcPr>
            <w:tcW w:w="580" w:type="dxa"/>
            <w:vAlign w:val="bottom"/>
          </w:tcPr>
          <w:p>
            <w:pPr>
              <w:spacing w:after="0"/>
              <w:rPr>
                <w:sz w:val="20"/>
                <w:szCs w:val="20"/>
                <w:color w:val="auto"/>
              </w:rPr>
            </w:pPr>
          </w:p>
        </w:tc>
        <w:tc>
          <w:tcPr>
            <w:tcW w:w="56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56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56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56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56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56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56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56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58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32"/>
        </w:trPr>
        <w:tc>
          <w:tcPr>
            <w:tcW w:w="3600" w:type="dxa"/>
            <w:vAlign w:val="bottom"/>
          </w:tcPr>
          <w:p>
            <w:pPr xmlns:w="http://schemas.openxmlformats.org/wordprocessingml/2006/main">
              <w:spacing w:after="0"/>
              <w:rPr>
                <w:sz w:val="20"/>
                <w:szCs w:val="20"/>
                <w:color w:val="auto"/>
              </w:rPr>
            </w:pPr>
            <w:r>
              <w:rPr xmlns:w="http://schemas.openxmlformats.org/wordprocessingml/2006/main">
                <w:rFonts w:ascii="Arial" w:cs="Arial" w:eastAsia="Arial" w:hAnsi="Arial"/>
                <w:sz w:val="16"/>
                <w:szCs w:val="16"/>
                <w:color w:val="auto"/>
              </w:rPr>
              <w:t xml:space="preserve">τέλος κάθε έτους.</w:t>
            </w:r>
            <w:r>
              <w:rPr xmlns:w="http://schemas.openxmlformats.org/wordprocessingml/2006/main">
                <w:rFonts w:ascii="Arial" w:cs="Arial" w:eastAsia="Arial" w:hAnsi="Arial"/>
                <w:sz w:val="16"/>
                <w:szCs w:val="16"/>
                <w:color w:val="auto"/>
              </w:rPr>
              <w:t xml:space="preserve"> Το Ταμείο ιδρύθηκε το 2002.</w:t>
            </w:r>
          </w:p>
        </w:tc>
        <w:tc>
          <w:tcPr>
            <w:tcW w:w="140" w:type="dxa"/>
            <w:vAlign w:val="bottom"/>
          </w:tcPr>
          <w:p>
            <w:pPr>
              <w:spacing w:after="0"/>
              <w:rPr>
                <w:sz w:val="20"/>
                <w:szCs w:val="20"/>
                <w:color w:val="auto"/>
              </w:rPr>
            </w:pPr>
          </w:p>
        </w:tc>
        <w:tc>
          <w:tcPr>
            <w:tcW w:w="1120" w:type="dxa"/>
            <w:vAlign w:val="bottom"/>
          </w:tcPr>
          <w:p>
            <w:pPr>
              <w:spacing w:after="0"/>
              <w:rPr>
                <w:sz w:val="20"/>
                <w:szCs w:val="20"/>
                <w:color w:val="auto"/>
              </w:rPr>
            </w:pPr>
          </w:p>
        </w:tc>
        <w:tc>
          <w:tcPr>
            <w:tcW w:w="580" w:type="dxa"/>
            <w:vAlign w:val="bottom"/>
          </w:tcPr>
          <w:p>
            <w:pPr>
              <w:spacing w:after="0"/>
              <w:rPr>
                <w:sz w:val="20"/>
                <w:szCs w:val="20"/>
                <w:color w:val="auto"/>
              </w:rPr>
            </w:pPr>
          </w:p>
        </w:tc>
        <w:tc>
          <w:tcPr>
            <w:tcW w:w="56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56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56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56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56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56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56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56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58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32"/>
        </w:trPr>
        <w:tc>
          <w:tcPr>
            <w:tcW w:w="3600" w:type="dxa"/>
            <w:vAlign w:val="bottom"/>
          </w:tcPr>
          <w:p>
            <w:pPr xmlns:w="http://schemas.openxmlformats.org/wordprocessingml/2006/main">
              <w:spacing w:after="0"/>
              <w:rPr>
                <w:sz w:val="20"/>
                <w:szCs w:val="20"/>
                <w:color w:val="auto"/>
              </w:rPr>
            </w:pPr>
            <w:r>
              <w:rPr xmlns:w="http://schemas.openxmlformats.org/wordprocessingml/2006/main">
                <w:rFonts w:ascii="Arial" w:cs="Arial" w:eastAsia="Arial" w:hAnsi="Arial"/>
                <w:sz w:val="16"/>
                <w:szCs w:val="16"/>
                <w:color w:val="auto"/>
              </w:rPr>
              <w:t xml:space="preserve">Η απόδοση εμφανίζεται μετά την αφαίρεση των συνεχιζόμενων</w:t>
            </w:r>
          </w:p>
        </w:tc>
        <w:tc>
          <w:tcPr>
            <w:tcW w:w="140" w:type="dxa"/>
            <w:vAlign w:val="bottom"/>
          </w:tcPr>
          <w:p>
            <w:pPr>
              <w:spacing w:after="0"/>
              <w:rPr>
                <w:sz w:val="20"/>
                <w:szCs w:val="20"/>
                <w:color w:val="auto"/>
              </w:rPr>
            </w:pPr>
          </w:p>
        </w:tc>
        <w:tc>
          <w:tcPr>
            <w:tcW w:w="1120" w:type="dxa"/>
            <w:vAlign w:val="bottom"/>
          </w:tcPr>
          <w:p>
            <w:pPr>
              <w:spacing w:after="0"/>
              <w:rPr>
                <w:sz w:val="20"/>
                <w:szCs w:val="20"/>
                <w:color w:val="auto"/>
              </w:rPr>
            </w:pPr>
          </w:p>
        </w:tc>
        <w:tc>
          <w:tcPr>
            <w:tcW w:w="580" w:type="dxa"/>
            <w:vAlign w:val="bottom"/>
          </w:tcPr>
          <w:p>
            <w:pPr>
              <w:spacing w:after="0"/>
              <w:rPr>
                <w:sz w:val="20"/>
                <w:szCs w:val="20"/>
                <w:color w:val="auto"/>
              </w:rPr>
            </w:pPr>
          </w:p>
        </w:tc>
        <w:tc>
          <w:tcPr>
            <w:tcW w:w="56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56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56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56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56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56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56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56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58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32"/>
        </w:trPr>
        <w:tc>
          <w:tcPr>
            <w:tcW w:w="3600" w:type="dxa"/>
            <w:vAlign w:val="bottom"/>
          </w:tcPr>
          <w:p>
            <w:pPr xmlns:w="http://schemas.openxmlformats.org/wordprocessingml/2006/main">
              <w:spacing w:after="0"/>
              <w:rPr>
                <w:sz w:val="20"/>
                <w:szCs w:val="20"/>
                <w:color w:val="auto"/>
              </w:rPr>
            </w:pPr>
            <w:r>
              <w:rPr xmlns:w="http://schemas.openxmlformats.org/wordprocessingml/2006/main">
                <w:rFonts w:ascii="Arial" w:cs="Arial" w:eastAsia="Arial" w:hAnsi="Arial"/>
                <w:sz w:val="16"/>
                <w:szCs w:val="16"/>
                <w:color w:val="auto"/>
              </w:rPr>
              <w:t xml:space="preserve">τέλη.</w:t>
            </w:r>
            <w:r>
              <w:rPr xmlns:w="http://schemas.openxmlformats.org/wordprocessingml/2006/main">
                <w:rFonts w:ascii="Arial" w:cs="Arial" w:eastAsia="Arial" w:hAnsi="Arial"/>
                <w:sz w:val="16"/>
                <w:szCs w:val="16"/>
                <w:color w:val="auto"/>
              </w:rPr>
              <w:t xml:space="preserve"> Τυχόν τέλη εισόδου/εξόδου εξαιρούνται από</w:t>
            </w:r>
          </w:p>
        </w:tc>
        <w:tc>
          <w:tcPr>
            <w:tcW w:w="140" w:type="dxa"/>
            <w:vAlign w:val="bottom"/>
          </w:tcPr>
          <w:p>
            <w:pPr>
              <w:spacing w:after="0"/>
              <w:rPr>
                <w:sz w:val="20"/>
                <w:szCs w:val="20"/>
                <w:color w:val="auto"/>
              </w:rPr>
            </w:pPr>
          </w:p>
        </w:tc>
        <w:tc>
          <w:tcPr>
            <w:tcW w:w="1120" w:type="dxa"/>
            <w:vAlign w:val="bottom"/>
          </w:tcPr>
          <w:p>
            <w:pPr>
              <w:spacing w:after="0"/>
              <w:rPr>
                <w:sz w:val="20"/>
                <w:szCs w:val="20"/>
                <w:color w:val="auto"/>
              </w:rPr>
            </w:pPr>
          </w:p>
        </w:tc>
        <w:tc>
          <w:tcPr>
            <w:tcW w:w="580" w:type="dxa"/>
            <w:vAlign w:val="bottom"/>
          </w:tcPr>
          <w:p>
            <w:pPr>
              <w:spacing w:after="0"/>
              <w:rPr>
                <w:sz w:val="20"/>
                <w:szCs w:val="20"/>
                <w:color w:val="auto"/>
              </w:rPr>
            </w:pPr>
          </w:p>
        </w:tc>
        <w:tc>
          <w:tcPr>
            <w:tcW w:w="56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56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56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56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56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56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56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56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58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32"/>
        </w:trPr>
        <w:tc>
          <w:tcPr>
            <w:tcW w:w="3600" w:type="dxa"/>
            <w:vAlign w:val="bottom"/>
          </w:tcPr>
          <w:p>
            <w:pPr xmlns:w="http://schemas.openxmlformats.org/wordprocessingml/2006/main">
              <w:spacing w:after="0"/>
              <w:rPr>
                <w:sz w:val="20"/>
                <w:szCs w:val="20"/>
                <w:color w:val="auto"/>
              </w:rPr>
            </w:pPr>
            <w:r>
              <w:rPr xmlns:w="http://schemas.openxmlformats.org/wordprocessingml/2006/main">
                <w:rFonts w:ascii="Arial" w:cs="Arial" w:eastAsia="Arial" w:hAnsi="Arial"/>
                <w:sz w:val="16"/>
                <w:szCs w:val="16"/>
                <w:color w:val="auto"/>
              </w:rPr>
              <w:t xml:space="preserve">τον υπολογισμό.</w:t>
            </w:r>
          </w:p>
        </w:tc>
        <w:tc>
          <w:tcPr>
            <w:tcW w:w="140" w:type="dxa"/>
            <w:vAlign w:val="bottom"/>
          </w:tcPr>
          <w:p>
            <w:pPr>
              <w:spacing w:after="0"/>
              <w:rPr>
                <w:sz w:val="20"/>
                <w:szCs w:val="20"/>
                <w:color w:val="auto"/>
              </w:rPr>
            </w:pPr>
          </w:p>
        </w:tc>
        <w:tc>
          <w:tcPr>
            <w:tcW w:w="1120" w:type="dxa"/>
            <w:vAlign w:val="bottom"/>
          </w:tcPr>
          <w:p>
            <w:pPr>
              <w:spacing w:after="0"/>
              <w:rPr>
                <w:sz w:val="20"/>
                <w:szCs w:val="20"/>
                <w:color w:val="auto"/>
              </w:rPr>
            </w:pPr>
          </w:p>
        </w:tc>
        <w:tc>
          <w:tcPr>
            <w:tcW w:w="580" w:type="dxa"/>
            <w:vAlign w:val="bottom"/>
          </w:tcPr>
          <w:p>
            <w:pPr>
              <w:spacing w:after="0"/>
              <w:rPr>
                <w:sz w:val="20"/>
                <w:szCs w:val="20"/>
                <w:color w:val="auto"/>
              </w:rPr>
            </w:pPr>
          </w:p>
        </w:tc>
        <w:tc>
          <w:tcPr>
            <w:tcW w:w="56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56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56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56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56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56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56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56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58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332"/>
        </w:trPr>
        <w:tc>
          <w:tcPr>
            <w:tcW w:w="3600" w:type="dxa"/>
            <w:vAlign w:val="bottom"/>
          </w:tcPr>
          <w:p>
            <w:pPr xmlns:w="http://schemas.openxmlformats.org/wordprocessingml/2006/main">
              <w:spacing w:after="0"/>
              <w:rPr>
                <w:sz w:val="20"/>
                <w:szCs w:val="20"/>
                <w:color w:val="auto"/>
              </w:rPr>
            </w:pPr>
            <w:r>
              <w:rPr xmlns:w="http://schemas.openxmlformats.org/wordprocessingml/2006/main">
                <w:rFonts w:ascii="Arial" w:cs="Arial" w:eastAsia="Arial" w:hAnsi="Arial"/>
                <w:sz w:val="16"/>
                <w:szCs w:val="16"/>
                <w:color w:val="auto"/>
                <w:w w:val="95"/>
              </w:rPr>
              <w:t xml:space="preserve">† Benchmark: STOXX® Europe 600 Oil &amp; Gas (σε ευρώ)</w:t>
            </w:r>
          </w:p>
        </w:tc>
        <w:tc>
          <w:tcPr>
            <w:tcW w:w="140" w:type="dxa"/>
            <w:vAlign w:val="bottom"/>
          </w:tcPr>
          <w:p>
            <w:pPr>
              <w:spacing w:after="0"/>
              <w:rPr>
                <w:sz w:val="24"/>
                <w:szCs w:val="24"/>
                <w:color w:val="auto"/>
              </w:rPr>
            </w:pPr>
          </w:p>
        </w:tc>
        <w:tc>
          <w:tcPr>
            <w:tcW w:w="112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56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56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56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56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56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56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56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56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13"/>
        </w:trPr>
        <w:tc>
          <w:tcPr>
            <w:tcW w:w="3600" w:type="dxa"/>
            <w:vAlign w:val="bottom"/>
          </w:tcPr>
          <w:p>
            <w:pPr>
              <w:spacing w:after="0"/>
              <w:rPr>
                <w:sz w:val="9"/>
                <w:szCs w:val="9"/>
                <w:color w:val="auto"/>
              </w:rPr>
            </w:pPr>
          </w:p>
        </w:tc>
        <w:tc>
          <w:tcPr>
            <w:tcW w:w="140" w:type="dxa"/>
            <w:vAlign w:val="bottom"/>
          </w:tcPr>
          <w:p>
            <w:pPr>
              <w:spacing w:after="0"/>
              <w:rPr>
                <w:sz w:val="9"/>
                <w:szCs w:val="9"/>
                <w:color w:val="auto"/>
              </w:rPr>
            </w:pPr>
          </w:p>
        </w:tc>
        <w:tc>
          <w:tcPr>
            <w:tcW w:w="1120" w:type="dxa"/>
            <w:vAlign w:val="bottom"/>
          </w:tcPr>
          <w:p>
            <w:pPr>
              <w:spacing w:after="0"/>
              <w:rPr>
                <w:sz w:val="9"/>
                <w:szCs w:val="9"/>
                <w:color w:val="auto"/>
              </w:rPr>
            </w:pPr>
          </w:p>
        </w:tc>
        <w:tc>
          <w:tcPr>
            <w:tcW w:w="580" w:type="dxa"/>
            <w:vAlign w:val="bottom"/>
          </w:tcPr>
          <w:p>
            <w:pPr>
              <w:spacing w:after="0"/>
              <w:rPr>
                <w:sz w:val="9"/>
                <w:szCs w:val="9"/>
                <w:color w:val="auto"/>
              </w:rPr>
            </w:pPr>
          </w:p>
        </w:tc>
        <w:tc>
          <w:tcPr>
            <w:tcW w:w="560" w:type="dxa"/>
            <w:vAlign w:val="bottom"/>
            <w:vMerge w:val="restart"/>
          </w:tcPr>
          <w:p>
            <w:pPr xmlns:w="http://schemas.openxmlformats.org/wordprocessingml/2006/main">
              <w:jc w:val="right"/>
              <w:ind w:right="20"/>
              <w:spacing w:after="0"/>
              <w:rPr>
                <w:sz w:val="20"/>
                <w:szCs w:val="20"/>
                <w:color w:val="auto"/>
              </w:rPr>
            </w:pPr>
            <w:r>
              <w:rPr xmlns:w="http://schemas.openxmlformats.org/wordprocessingml/2006/main">
                <w:rFonts w:ascii="Arial" w:cs="Arial" w:eastAsia="Arial" w:hAnsi="Arial"/>
                <w:sz w:val="16"/>
                <w:szCs w:val="16"/>
                <w:color w:val="auto"/>
              </w:rPr>
              <w:t xml:space="preserve">2014</w:t>
            </w:r>
          </w:p>
        </w:tc>
        <w:tc>
          <w:tcPr>
            <w:tcW w:w="20" w:type="dxa"/>
            <w:vAlign w:val="bottom"/>
          </w:tcPr>
          <w:p>
            <w:pPr>
              <w:spacing w:after="0"/>
              <w:rPr>
                <w:sz w:val="9"/>
                <w:szCs w:val="9"/>
                <w:color w:val="auto"/>
              </w:rPr>
            </w:pPr>
          </w:p>
        </w:tc>
        <w:tc>
          <w:tcPr>
            <w:tcW w:w="560" w:type="dxa"/>
            <w:vAlign w:val="bottom"/>
            <w:vMerge w:val="restart"/>
          </w:tcPr>
          <w:p>
            <w:pPr xmlns:w="http://schemas.openxmlformats.org/wordprocessingml/2006/main">
              <w:jc w:val="right"/>
              <w:ind w:right="20"/>
              <w:spacing w:after="0"/>
              <w:rPr>
                <w:sz w:val="20"/>
                <w:szCs w:val="20"/>
                <w:color w:val="auto"/>
              </w:rPr>
            </w:pPr>
            <w:r>
              <w:rPr xmlns:w="http://schemas.openxmlformats.org/wordprocessingml/2006/main">
                <w:rFonts w:ascii="Arial" w:cs="Arial" w:eastAsia="Arial" w:hAnsi="Arial"/>
                <w:sz w:val="16"/>
                <w:szCs w:val="16"/>
                <w:color w:val="auto"/>
              </w:rPr>
              <w:t xml:space="preserve">2015</w:t>
            </w:r>
          </w:p>
        </w:tc>
        <w:tc>
          <w:tcPr>
            <w:tcW w:w="20" w:type="dxa"/>
            <w:vAlign w:val="bottom"/>
          </w:tcPr>
          <w:p>
            <w:pPr>
              <w:spacing w:after="0"/>
              <w:rPr>
                <w:sz w:val="9"/>
                <w:szCs w:val="9"/>
                <w:color w:val="auto"/>
              </w:rPr>
            </w:pPr>
          </w:p>
        </w:tc>
        <w:tc>
          <w:tcPr>
            <w:tcW w:w="560" w:type="dxa"/>
            <w:vAlign w:val="bottom"/>
            <w:vMerge w:val="restart"/>
          </w:tcPr>
          <w:p>
            <w:pPr xmlns:w="http://schemas.openxmlformats.org/wordprocessingml/2006/main">
              <w:jc w:val="right"/>
              <w:ind w:right="20"/>
              <w:spacing w:after="0"/>
              <w:rPr>
                <w:sz w:val="20"/>
                <w:szCs w:val="20"/>
                <w:color w:val="auto"/>
              </w:rPr>
            </w:pPr>
            <w:r>
              <w:rPr xmlns:w="http://schemas.openxmlformats.org/wordprocessingml/2006/main">
                <w:rFonts w:ascii="Arial" w:cs="Arial" w:eastAsia="Arial" w:hAnsi="Arial"/>
                <w:sz w:val="16"/>
                <w:szCs w:val="16"/>
                <w:color w:val="auto"/>
              </w:rPr>
              <w:t xml:space="preserve">2016</w:t>
            </w:r>
          </w:p>
        </w:tc>
        <w:tc>
          <w:tcPr>
            <w:tcW w:w="20" w:type="dxa"/>
            <w:vAlign w:val="bottom"/>
          </w:tcPr>
          <w:p>
            <w:pPr>
              <w:spacing w:after="0"/>
              <w:rPr>
                <w:sz w:val="9"/>
                <w:szCs w:val="9"/>
                <w:color w:val="auto"/>
              </w:rPr>
            </w:pPr>
          </w:p>
        </w:tc>
        <w:tc>
          <w:tcPr>
            <w:tcW w:w="560" w:type="dxa"/>
            <w:vAlign w:val="bottom"/>
            <w:vMerge w:val="restart"/>
          </w:tcPr>
          <w:p>
            <w:pPr xmlns:w="http://schemas.openxmlformats.org/wordprocessingml/2006/main">
              <w:jc w:val="right"/>
              <w:ind w:right="20"/>
              <w:spacing w:after="0"/>
              <w:rPr>
                <w:sz w:val="20"/>
                <w:szCs w:val="20"/>
                <w:color w:val="auto"/>
              </w:rPr>
            </w:pPr>
            <w:r>
              <w:rPr xmlns:w="http://schemas.openxmlformats.org/wordprocessingml/2006/main">
                <w:rFonts w:ascii="Arial" w:cs="Arial" w:eastAsia="Arial" w:hAnsi="Arial"/>
                <w:sz w:val="16"/>
                <w:szCs w:val="16"/>
                <w:color w:val="auto"/>
              </w:rPr>
              <w:t xml:space="preserve">2017</w:t>
            </w:r>
          </w:p>
        </w:tc>
        <w:tc>
          <w:tcPr>
            <w:tcW w:w="20" w:type="dxa"/>
            <w:vAlign w:val="bottom"/>
          </w:tcPr>
          <w:p>
            <w:pPr>
              <w:spacing w:after="0"/>
              <w:rPr>
                <w:sz w:val="9"/>
                <w:szCs w:val="9"/>
                <w:color w:val="auto"/>
              </w:rPr>
            </w:pPr>
          </w:p>
        </w:tc>
        <w:tc>
          <w:tcPr>
            <w:tcW w:w="560" w:type="dxa"/>
            <w:vAlign w:val="bottom"/>
            <w:vMerge w:val="restart"/>
          </w:tcPr>
          <w:p>
            <w:pPr xmlns:w="http://schemas.openxmlformats.org/wordprocessingml/2006/main">
              <w:jc w:val="right"/>
              <w:ind w:right="20"/>
              <w:spacing w:after="0"/>
              <w:rPr>
                <w:sz w:val="20"/>
                <w:szCs w:val="20"/>
                <w:color w:val="auto"/>
              </w:rPr>
            </w:pPr>
            <w:r>
              <w:rPr xmlns:w="http://schemas.openxmlformats.org/wordprocessingml/2006/main">
                <w:rFonts w:ascii="Arial" w:cs="Arial" w:eastAsia="Arial" w:hAnsi="Arial"/>
                <w:sz w:val="16"/>
                <w:szCs w:val="16"/>
                <w:color w:val="auto"/>
              </w:rPr>
              <w:t xml:space="preserve">2018</w:t>
            </w:r>
          </w:p>
        </w:tc>
        <w:tc>
          <w:tcPr>
            <w:tcW w:w="20" w:type="dxa"/>
            <w:vAlign w:val="bottom"/>
          </w:tcPr>
          <w:p>
            <w:pPr>
              <w:spacing w:after="0"/>
              <w:rPr>
                <w:sz w:val="9"/>
                <w:szCs w:val="9"/>
                <w:color w:val="auto"/>
              </w:rPr>
            </w:pPr>
          </w:p>
        </w:tc>
        <w:tc>
          <w:tcPr>
            <w:tcW w:w="560" w:type="dxa"/>
            <w:vAlign w:val="bottom"/>
            <w:vMerge w:val="restart"/>
          </w:tcPr>
          <w:p>
            <w:pPr xmlns:w="http://schemas.openxmlformats.org/wordprocessingml/2006/main">
              <w:jc w:val="right"/>
              <w:ind w:right="20"/>
              <w:spacing w:after="0"/>
              <w:rPr>
                <w:sz w:val="20"/>
                <w:szCs w:val="20"/>
                <w:color w:val="auto"/>
              </w:rPr>
            </w:pPr>
            <w:r>
              <w:rPr xmlns:w="http://schemas.openxmlformats.org/wordprocessingml/2006/main">
                <w:rFonts w:ascii="Arial" w:cs="Arial" w:eastAsia="Arial" w:hAnsi="Arial"/>
                <w:sz w:val="16"/>
                <w:szCs w:val="16"/>
                <w:color w:val="auto"/>
              </w:rPr>
              <w:t xml:space="preserve">2019</w:t>
            </w:r>
          </w:p>
        </w:tc>
        <w:tc>
          <w:tcPr>
            <w:tcW w:w="20" w:type="dxa"/>
            <w:vAlign w:val="bottom"/>
          </w:tcPr>
          <w:p>
            <w:pPr>
              <w:spacing w:after="0"/>
              <w:rPr>
                <w:sz w:val="9"/>
                <w:szCs w:val="9"/>
                <w:color w:val="auto"/>
              </w:rPr>
            </w:pPr>
          </w:p>
        </w:tc>
        <w:tc>
          <w:tcPr>
            <w:tcW w:w="560" w:type="dxa"/>
            <w:vAlign w:val="bottom"/>
            <w:vMerge w:val="restart"/>
          </w:tcPr>
          <w:p>
            <w:pPr xmlns:w="http://schemas.openxmlformats.org/wordprocessingml/2006/main">
              <w:jc w:val="right"/>
              <w:ind w:right="20"/>
              <w:spacing w:after="0"/>
              <w:rPr>
                <w:sz w:val="20"/>
                <w:szCs w:val="20"/>
                <w:color w:val="auto"/>
              </w:rPr>
            </w:pPr>
            <w:r>
              <w:rPr xmlns:w="http://schemas.openxmlformats.org/wordprocessingml/2006/main">
                <w:rFonts w:ascii="Arial" w:cs="Arial" w:eastAsia="Arial" w:hAnsi="Arial"/>
                <w:sz w:val="16"/>
                <w:szCs w:val="16"/>
                <w:color w:val="auto"/>
              </w:rPr>
              <w:t xml:space="preserve">2020</w:t>
            </w:r>
          </w:p>
        </w:tc>
        <w:tc>
          <w:tcPr>
            <w:tcW w:w="20" w:type="dxa"/>
            <w:vAlign w:val="bottom"/>
          </w:tcPr>
          <w:p>
            <w:pPr>
              <w:spacing w:after="0"/>
              <w:rPr>
                <w:sz w:val="9"/>
                <w:szCs w:val="9"/>
                <w:color w:val="auto"/>
              </w:rPr>
            </w:pPr>
          </w:p>
        </w:tc>
        <w:tc>
          <w:tcPr>
            <w:tcW w:w="560" w:type="dxa"/>
            <w:vAlign w:val="bottom"/>
            <w:vMerge w:val="restart"/>
          </w:tcPr>
          <w:p>
            <w:pPr xmlns:w="http://schemas.openxmlformats.org/wordprocessingml/2006/main">
              <w:jc w:val="right"/>
              <w:ind w:right="20"/>
              <w:spacing w:after="0"/>
              <w:rPr>
                <w:sz w:val="20"/>
                <w:szCs w:val="20"/>
                <w:color w:val="auto"/>
              </w:rPr>
            </w:pPr>
            <w:r>
              <w:rPr xmlns:w="http://schemas.openxmlformats.org/wordprocessingml/2006/main">
                <w:rFonts w:ascii="Arial" w:cs="Arial" w:eastAsia="Arial" w:hAnsi="Arial"/>
                <w:sz w:val="16"/>
                <w:szCs w:val="16"/>
                <w:color w:val="auto"/>
              </w:rPr>
              <w:t xml:space="preserve">2021</w:t>
            </w:r>
          </w:p>
        </w:tc>
        <w:tc>
          <w:tcPr>
            <w:tcW w:w="20" w:type="dxa"/>
            <w:vAlign w:val="bottom"/>
          </w:tcPr>
          <w:p>
            <w:pPr>
              <w:spacing w:after="0"/>
              <w:rPr>
                <w:sz w:val="9"/>
                <w:szCs w:val="9"/>
                <w:color w:val="auto"/>
              </w:rPr>
            </w:pPr>
          </w:p>
        </w:tc>
        <w:tc>
          <w:tcPr>
            <w:tcW w:w="580" w:type="dxa"/>
            <w:vAlign w:val="bottom"/>
            <w:vMerge w:val="restart"/>
          </w:tcPr>
          <w:p>
            <w:pPr xmlns:w="http://schemas.openxmlformats.org/wordprocessingml/2006/main">
              <w:jc w:val="right"/>
              <w:ind w:right="20"/>
              <w:spacing w:after="0"/>
              <w:rPr>
                <w:sz w:val="20"/>
                <w:szCs w:val="20"/>
                <w:color w:val="auto"/>
              </w:rPr>
            </w:pPr>
            <w:r>
              <w:rPr xmlns:w="http://schemas.openxmlformats.org/wordprocessingml/2006/main">
                <w:rFonts w:ascii="Arial" w:cs="Arial" w:eastAsia="Arial" w:hAnsi="Arial"/>
                <w:sz w:val="16"/>
                <w:szCs w:val="16"/>
                <w:color w:val="auto"/>
              </w:rPr>
              <w:t xml:space="preserve">2022</w:t>
            </w:r>
          </w:p>
        </w:tc>
        <w:tc>
          <w:tcPr>
            <w:tcW w:w="0" w:type="dxa"/>
            <w:vAlign w:val="bottom"/>
          </w:tcPr>
          <w:p>
            <w:pPr>
              <w:spacing w:after="0"/>
              <w:rPr>
                <w:sz w:val="1"/>
                <w:szCs w:val="1"/>
                <w:color w:val="auto"/>
              </w:rPr>
            </w:pPr>
          </w:p>
        </w:tc>
      </w:tr>
      <w:tr>
        <w:trPr>
          <w:trHeight w:val="227"/>
        </w:trPr>
        <w:tc>
          <w:tcPr>
            <w:tcW w:w="3600" w:type="dxa"/>
            <w:vAlign w:val="bottom"/>
          </w:tcPr>
          <w:p>
            <w:pPr>
              <w:spacing w:after="0"/>
              <w:rPr>
                <w:sz w:val="19"/>
                <w:szCs w:val="19"/>
                <w:color w:val="auto"/>
              </w:rPr>
            </w:pPr>
          </w:p>
        </w:tc>
        <w:tc>
          <w:tcPr>
            <w:tcW w:w="140" w:type="dxa"/>
            <w:vAlign w:val="bottom"/>
            <w:tcBorders>
              <w:bottom w:val="single" w:sz="8" w:color="808080"/>
            </w:tcBorders>
          </w:tcPr>
          <w:p>
            <w:pPr>
              <w:spacing w:after="0"/>
              <w:rPr>
                <w:sz w:val="19"/>
                <w:szCs w:val="19"/>
                <w:color w:val="auto"/>
              </w:rPr>
            </w:pPr>
          </w:p>
        </w:tc>
        <w:tc>
          <w:tcPr>
            <w:tcW w:w="1120" w:type="dxa"/>
            <w:vAlign w:val="bottom"/>
            <w:tcBorders>
              <w:bottom w:val="single" w:sz="8" w:color="808080"/>
              <w:right w:val="single" w:sz="8" w:color="808080"/>
            </w:tcBorders>
          </w:tcPr>
          <w:p>
            <w:pPr>
              <w:spacing w:after="0"/>
              <w:rPr>
                <w:sz w:val="19"/>
                <w:szCs w:val="19"/>
                <w:color w:val="auto"/>
              </w:rPr>
            </w:pPr>
          </w:p>
        </w:tc>
        <w:tc>
          <w:tcPr>
            <w:tcW w:w="580" w:type="dxa"/>
            <w:vAlign w:val="bottom"/>
            <w:tcBorders>
              <w:bottom w:val="single" w:sz="8" w:color="808080"/>
              <w:right w:val="single" w:sz="8" w:color="808080"/>
            </w:tcBorders>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2013</w:t>
            </w:r>
          </w:p>
        </w:tc>
        <w:tc>
          <w:tcPr>
            <w:tcW w:w="560" w:type="dxa"/>
            <w:vAlign w:val="bottom"/>
            <w:tcBorders>
              <w:bottom w:val="single" w:sz="8" w:color="808080"/>
            </w:tcBorders>
            <w:vMerge w:val="continue"/>
          </w:tcPr>
          <w:p>
            <w:pPr>
              <w:spacing w:after="0"/>
              <w:rPr>
                <w:sz w:val="19"/>
                <w:szCs w:val="19"/>
                <w:color w:val="auto"/>
              </w:rPr>
            </w:pPr>
          </w:p>
        </w:tc>
        <w:tc>
          <w:tcPr>
            <w:tcW w:w="20" w:type="dxa"/>
            <w:vAlign w:val="bottom"/>
            <w:tcBorders>
              <w:bottom w:val="single" w:sz="8" w:color="808080"/>
            </w:tcBorders>
            <w:shd w:val="clear" w:color="auto" w:fill="808080"/>
          </w:tcPr>
          <w:p>
            <w:pPr>
              <w:spacing w:after="0"/>
              <w:rPr>
                <w:sz w:val="19"/>
                <w:szCs w:val="19"/>
                <w:color w:val="auto"/>
              </w:rPr>
            </w:pPr>
          </w:p>
        </w:tc>
        <w:tc>
          <w:tcPr>
            <w:tcW w:w="560" w:type="dxa"/>
            <w:vAlign w:val="bottom"/>
            <w:tcBorders>
              <w:bottom w:val="single" w:sz="8" w:color="808080"/>
            </w:tcBorders>
            <w:vMerge w:val="continue"/>
          </w:tcPr>
          <w:p>
            <w:pPr>
              <w:spacing w:after="0"/>
              <w:rPr>
                <w:sz w:val="19"/>
                <w:szCs w:val="19"/>
                <w:color w:val="auto"/>
              </w:rPr>
            </w:pPr>
          </w:p>
        </w:tc>
        <w:tc>
          <w:tcPr>
            <w:tcW w:w="20" w:type="dxa"/>
            <w:vAlign w:val="bottom"/>
            <w:tcBorders>
              <w:bottom w:val="single" w:sz="8" w:color="808080"/>
            </w:tcBorders>
            <w:shd w:val="clear" w:color="auto" w:fill="808080"/>
          </w:tcPr>
          <w:p>
            <w:pPr>
              <w:spacing w:after="0"/>
              <w:rPr>
                <w:sz w:val="19"/>
                <w:szCs w:val="19"/>
                <w:color w:val="auto"/>
              </w:rPr>
            </w:pPr>
          </w:p>
        </w:tc>
        <w:tc>
          <w:tcPr>
            <w:tcW w:w="560" w:type="dxa"/>
            <w:vAlign w:val="bottom"/>
            <w:tcBorders>
              <w:bottom w:val="single" w:sz="8" w:color="808080"/>
            </w:tcBorders>
            <w:vMerge w:val="continue"/>
          </w:tcPr>
          <w:p>
            <w:pPr>
              <w:spacing w:after="0"/>
              <w:rPr>
                <w:sz w:val="19"/>
                <w:szCs w:val="19"/>
                <w:color w:val="auto"/>
              </w:rPr>
            </w:pPr>
          </w:p>
        </w:tc>
        <w:tc>
          <w:tcPr>
            <w:tcW w:w="20" w:type="dxa"/>
            <w:vAlign w:val="bottom"/>
            <w:tcBorders>
              <w:bottom w:val="single" w:sz="8" w:color="808080"/>
            </w:tcBorders>
            <w:shd w:val="clear" w:color="auto" w:fill="808080"/>
          </w:tcPr>
          <w:p>
            <w:pPr>
              <w:spacing w:after="0"/>
              <w:rPr>
                <w:sz w:val="19"/>
                <w:szCs w:val="19"/>
                <w:color w:val="auto"/>
              </w:rPr>
            </w:pPr>
          </w:p>
        </w:tc>
        <w:tc>
          <w:tcPr>
            <w:tcW w:w="560" w:type="dxa"/>
            <w:vAlign w:val="bottom"/>
            <w:tcBorders>
              <w:bottom w:val="single" w:sz="8" w:color="808080"/>
            </w:tcBorders>
            <w:vMerge w:val="continue"/>
          </w:tcPr>
          <w:p>
            <w:pPr>
              <w:spacing w:after="0"/>
              <w:rPr>
                <w:sz w:val="19"/>
                <w:szCs w:val="19"/>
                <w:color w:val="auto"/>
              </w:rPr>
            </w:pPr>
          </w:p>
        </w:tc>
        <w:tc>
          <w:tcPr>
            <w:tcW w:w="20" w:type="dxa"/>
            <w:vAlign w:val="bottom"/>
            <w:tcBorders>
              <w:bottom w:val="single" w:sz="8" w:color="808080"/>
            </w:tcBorders>
            <w:shd w:val="clear" w:color="auto" w:fill="808080"/>
          </w:tcPr>
          <w:p>
            <w:pPr>
              <w:spacing w:after="0"/>
              <w:rPr>
                <w:sz w:val="19"/>
                <w:szCs w:val="19"/>
                <w:color w:val="auto"/>
              </w:rPr>
            </w:pPr>
          </w:p>
        </w:tc>
        <w:tc>
          <w:tcPr>
            <w:tcW w:w="560" w:type="dxa"/>
            <w:vAlign w:val="bottom"/>
            <w:tcBorders>
              <w:bottom w:val="single" w:sz="8" w:color="808080"/>
            </w:tcBorders>
            <w:vMerge w:val="continue"/>
          </w:tcPr>
          <w:p>
            <w:pPr>
              <w:spacing w:after="0"/>
              <w:rPr>
                <w:sz w:val="19"/>
                <w:szCs w:val="19"/>
                <w:color w:val="auto"/>
              </w:rPr>
            </w:pPr>
          </w:p>
        </w:tc>
        <w:tc>
          <w:tcPr>
            <w:tcW w:w="20" w:type="dxa"/>
            <w:vAlign w:val="bottom"/>
            <w:tcBorders>
              <w:bottom w:val="single" w:sz="8" w:color="808080"/>
            </w:tcBorders>
            <w:shd w:val="clear" w:color="auto" w:fill="808080"/>
          </w:tcPr>
          <w:p>
            <w:pPr>
              <w:spacing w:after="0"/>
              <w:rPr>
                <w:sz w:val="19"/>
                <w:szCs w:val="19"/>
                <w:color w:val="auto"/>
              </w:rPr>
            </w:pPr>
          </w:p>
        </w:tc>
        <w:tc>
          <w:tcPr>
            <w:tcW w:w="560" w:type="dxa"/>
            <w:vAlign w:val="bottom"/>
            <w:tcBorders>
              <w:bottom w:val="single" w:sz="8" w:color="808080"/>
            </w:tcBorders>
            <w:vMerge w:val="continue"/>
          </w:tcPr>
          <w:p>
            <w:pPr>
              <w:spacing w:after="0"/>
              <w:rPr>
                <w:sz w:val="19"/>
                <w:szCs w:val="19"/>
                <w:color w:val="auto"/>
              </w:rPr>
            </w:pPr>
          </w:p>
        </w:tc>
        <w:tc>
          <w:tcPr>
            <w:tcW w:w="20" w:type="dxa"/>
            <w:vAlign w:val="bottom"/>
            <w:tcBorders>
              <w:bottom w:val="single" w:sz="8" w:color="808080"/>
            </w:tcBorders>
            <w:shd w:val="clear" w:color="auto" w:fill="808080"/>
          </w:tcPr>
          <w:p>
            <w:pPr>
              <w:spacing w:after="0"/>
              <w:rPr>
                <w:sz w:val="19"/>
                <w:szCs w:val="19"/>
                <w:color w:val="auto"/>
              </w:rPr>
            </w:pPr>
          </w:p>
        </w:tc>
        <w:tc>
          <w:tcPr>
            <w:tcW w:w="560" w:type="dxa"/>
            <w:vAlign w:val="bottom"/>
            <w:tcBorders>
              <w:bottom w:val="single" w:sz="8" w:color="808080"/>
            </w:tcBorders>
            <w:vMerge w:val="continue"/>
          </w:tcPr>
          <w:p>
            <w:pPr>
              <w:spacing w:after="0"/>
              <w:rPr>
                <w:sz w:val="19"/>
                <w:szCs w:val="19"/>
                <w:color w:val="auto"/>
              </w:rPr>
            </w:pPr>
          </w:p>
        </w:tc>
        <w:tc>
          <w:tcPr>
            <w:tcW w:w="20" w:type="dxa"/>
            <w:vAlign w:val="bottom"/>
            <w:tcBorders>
              <w:bottom w:val="single" w:sz="8" w:color="808080"/>
            </w:tcBorders>
            <w:shd w:val="clear" w:color="auto" w:fill="808080"/>
          </w:tcPr>
          <w:p>
            <w:pPr>
              <w:spacing w:after="0"/>
              <w:rPr>
                <w:sz w:val="19"/>
                <w:szCs w:val="19"/>
                <w:color w:val="auto"/>
              </w:rPr>
            </w:pPr>
          </w:p>
        </w:tc>
        <w:tc>
          <w:tcPr>
            <w:tcW w:w="560" w:type="dxa"/>
            <w:vAlign w:val="bottom"/>
            <w:tcBorders>
              <w:bottom w:val="single" w:sz="8" w:color="808080"/>
            </w:tcBorders>
            <w:vMerge w:val="continue"/>
          </w:tcPr>
          <w:p>
            <w:pPr>
              <w:spacing w:after="0"/>
              <w:rPr>
                <w:sz w:val="19"/>
                <w:szCs w:val="19"/>
                <w:color w:val="auto"/>
              </w:rPr>
            </w:pPr>
          </w:p>
        </w:tc>
        <w:tc>
          <w:tcPr>
            <w:tcW w:w="20" w:type="dxa"/>
            <w:vAlign w:val="bottom"/>
            <w:tcBorders>
              <w:bottom w:val="single" w:sz="8" w:color="808080"/>
            </w:tcBorders>
            <w:shd w:val="clear" w:color="auto" w:fill="808080"/>
          </w:tcPr>
          <w:p>
            <w:pPr>
              <w:spacing w:after="0"/>
              <w:rPr>
                <w:sz w:val="19"/>
                <w:szCs w:val="19"/>
                <w:color w:val="auto"/>
              </w:rPr>
            </w:pPr>
          </w:p>
        </w:tc>
        <w:tc>
          <w:tcPr>
            <w:tcW w:w="580" w:type="dxa"/>
            <w:vAlign w:val="bottom"/>
            <w:tcBorders>
              <w:bottom w:val="single" w:sz="8" w:color="808080"/>
            </w:tcBorders>
            <w:vMerge w:val="continue"/>
          </w:tcPr>
          <w:p>
            <w:pPr>
              <w:spacing w:after="0"/>
              <w:rPr>
                <w:sz w:val="19"/>
                <w:szCs w:val="19"/>
                <w:color w:val="auto"/>
              </w:rPr>
            </w:pPr>
          </w:p>
        </w:tc>
        <w:tc>
          <w:tcPr>
            <w:tcW w:w="0" w:type="dxa"/>
            <w:vAlign w:val="bottom"/>
          </w:tcPr>
          <w:p>
            <w:pPr>
              <w:spacing w:after="0"/>
              <w:rPr>
                <w:sz w:val="1"/>
                <w:szCs w:val="1"/>
                <w:color w:val="auto"/>
              </w:rPr>
            </w:pPr>
          </w:p>
        </w:tc>
      </w:tr>
      <w:tr>
        <w:trPr>
          <w:trHeight w:val="20"/>
        </w:trPr>
        <w:tc>
          <w:tcPr>
            <w:tcW w:w="3600" w:type="dxa"/>
            <w:vAlign w:val="bottom"/>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1120" w:type="dxa"/>
            <w:vAlign w:val="bottom"/>
            <w:tcBorders>
              <w:right w:val="single" w:sz="8" w:color="808080"/>
            </w:tcBorders>
            <w:vMerge w:val="restart"/>
          </w:tcPr>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16"/>
                <w:szCs w:val="16"/>
                <w:color w:val="auto"/>
              </w:rPr>
              <w:t xml:space="preserve">Ταμείο</w:t>
            </w:r>
          </w:p>
        </w:tc>
        <w:tc>
          <w:tcPr>
            <w:tcW w:w="580" w:type="dxa"/>
            <w:vAlign w:val="bottom"/>
            <w:tcBorders>
              <w:right w:val="single" w:sz="8" w:color="808080"/>
            </w:tcBorders>
            <w:vMerge w:val="restart"/>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7,7</w:t>
            </w:r>
          </w:p>
        </w:tc>
        <w:tc>
          <w:tcPr>
            <w:tcW w:w="560" w:type="dxa"/>
            <w:vAlign w:val="bottom"/>
            <w:vMerge w:val="restart"/>
          </w:tcPr>
          <w:p>
            <w:pPr xmlns:w="http://schemas.openxmlformats.org/wordprocessingml/2006/main">
              <w:jc w:val="right"/>
              <w:ind w:right="20"/>
              <w:spacing w:after="0"/>
              <w:rPr>
                <w:sz w:val="20"/>
                <w:szCs w:val="20"/>
                <w:color w:val="auto"/>
              </w:rPr>
            </w:pPr>
            <w:r>
              <w:rPr xmlns:w="http://schemas.openxmlformats.org/wordprocessingml/2006/main">
                <w:rFonts w:ascii="Arial" w:cs="Arial" w:eastAsia="Arial" w:hAnsi="Arial"/>
                <w:sz w:val="16"/>
                <w:szCs w:val="16"/>
                <w:color w:val="auto"/>
              </w:rPr>
              <w:t xml:space="preserve">-11,1</w:t>
            </w:r>
          </w:p>
        </w:tc>
        <w:tc>
          <w:tcPr>
            <w:tcW w:w="20" w:type="dxa"/>
            <w:vAlign w:val="bottom"/>
            <w:vMerge w:val="restart"/>
            <w:shd w:val="clear" w:color="auto" w:fill="808080"/>
          </w:tcPr>
          <w:p>
            <w:pPr>
              <w:spacing w:after="0" w:line="20" w:lineRule="exact"/>
              <w:rPr>
                <w:sz w:val="1"/>
                <w:szCs w:val="1"/>
                <w:color w:val="auto"/>
              </w:rPr>
            </w:pPr>
          </w:p>
        </w:tc>
        <w:tc>
          <w:tcPr>
            <w:tcW w:w="560" w:type="dxa"/>
            <w:vAlign w:val="bottom"/>
            <w:vMerge w:val="restart"/>
          </w:tcPr>
          <w:p>
            <w:pPr xmlns:w="http://schemas.openxmlformats.org/wordprocessingml/2006/main">
              <w:jc w:val="right"/>
              <w:ind w:right="20"/>
              <w:spacing w:after="0"/>
              <w:rPr>
                <w:sz w:val="20"/>
                <w:szCs w:val="20"/>
                <w:color w:val="auto"/>
              </w:rPr>
            </w:pPr>
            <w:r>
              <w:rPr xmlns:w="http://schemas.openxmlformats.org/wordprocessingml/2006/main">
                <w:rFonts w:ascii="Arial" w:cs="Arial" w:eastAsia="Arial" w:hAnsi="Arial"/>
                <w:sz w:val="16"/>
                <w:szCs w:val="16"/>
                <w:color w:val="auto"/>
              </w:rPr>
              <w:t xml:space="preserve">-2,9</w:t>
            </w:r>
          </w:p>
        </w:tc>
        <w:tc>
          <w:tcPr>
            <w:tcW w:w="20" w:type="dxa"/>
            <w:vAlign w:val="bottom"/>
            <w:vMerge w:val="restart"/>
            <w:shd w:val="clear" w:color="auto" w:fill="808080"/>
          </w:tcPr>
          <w:p>
            <w:pPr>
              <w:spacing w:after="0" w:line="20" w:lineRule="exact"/>
              <w:rPr>
                <w:sz w:val="1"/>
                <w:szCs w:val="1"/>
                <w:color w:val="auto"/>
              </w:rPr>
            </w:pPr>
          </w:p>
        </w:tc>
        <w:tc>
          <w:tcPr>
            <w:tcW w:w="560" w:type="dxa"/>
            <w:vAlign w:val="bottom"/>
            <w:vMerge w:val="restart"/>
          </w:tcPr>
          <w:p>
            <w:pPr xmlns:w="http://schemas.openxmlformats.org/wordprocessingml/2006/main">
              <w:jc w:val="right"/>
              <w:ind w:right="20"/>
              <w:spacing w:after="0"/>
              <w:rPr>
                <w:sz w:val="20"/>
                <w:szCs w:val="20"/>
                <w:color w:val="auto"/>
              </w:rPr>
            </w:pPr>
            <w:r>
              <w:rPr xmlns:w="http://schemas.openxmlformats.org/wordprocessingml/2006/main">
                <w:rFonts w:ascii="Arial" w:cs="Arial" w:eastAsia="Arial" w:hAnsi="Arial"/>
                <w:sz w:val="16"/>
                <w:szCs w:val="16"/>
                <w:color w:val="auto"/>
              </w:rPr>
              <w:t xml:space="preserve">28,5</w:t>
            </w:r>
          </w:p>
        </w:tc>
        <w:tc>
          <w:tcPr>
            <w:tcW w:w="20" w:type="dxa"/>
            <w:vAlign w:val="bottom"/>
            <w:vMerge w:val="restart"/>
            <w:shd w:val="clear" w:color="auto" w:fill="808080"/>
          </w:tcPr>
          <w:p>
            <w:pPr>
              <w:spacing w:after="0" w:line="20" w:lineRule="exact"/>
              <w:rPr>
                <w:sz w:val="1"/>
                <w:szCs w:val="1"/>
                <w:color w:val="auto"/>
              </w:rPr>
            </w:pPr>
          </w:p>
        </w:tc>
        <w:tc>
          <w:tcPr>
            <w:tcW w:w="560" w:type="dxa"/>
            <w:vAlign w:val="bottom"/>
            <w:vMerge w:val="restart"/>
          </w:tcPr>
          <w:p>
            <w:pPr xmlns:w="http://schemas.openxmlformats.org/wordprocessingml/2006/main">
              <w:jc w:val="right"/>
              <w:ind w:right="20"/>
              <w:spacing w:after="0"/>
              <w:rPr>
                <w:sz w:val="20"/>
                <w:szCs w:val="20"/>
                <w:color w:val="auto"/>
              </w:rPr>
            </w:pPr>
            <w:r>
              <w:rPr xmlns:w="http://schemas.openxmlformats.org/wordprocessingml/2006/main">
                <w:rFonts w:ascii="Arial" w:cs="Arial" w:eastAsia="Arial" w:hAnsi="Arial"/>
                <w:sz w:val="16"/>
                <w:szCs w:val="16"/>
                <w:color w:val="auto"/>
              </w:rPr>
              <w:t xml:space="preserve">1,9</w:t>
            </w:r>
          </w:p>
        </w:tc>
        <w:tc>
          <w:tcPr>
            <w:tcW w:w="20" w:type="dxa"/>
            <w:vAlign w:val="bottom"/>
            <w:vMerge w:val="restart"/>
            <w:shd w:val="clear" w:color="auto" w:fill="808080"/>
          </w:tcPr>
          <w:p>
            <w:pPr>
              <w:spacing w:after="0" w:line="20" w:lineRule="exact"/>
              <w:rPr>
                <w:sz w:val="1"/>
                <w:szCs w:val="1"/>
                <w:color w:val="auto"/>
              </w:rPr>
            </w:pPr>
          </w:p>
        </w:tc>
        <w:tc>
          <w:tcPr>
            <w:tcW w:w="560" w:type="dxa"/>
            <w:vAlign w:val="bottom"/>
            <w:vMerge w:val="restart"/>
          </w:tcPr>
          <w:p>
            <w:pPr xmlns:w="http://schemas.openxmlformats.org/wordprocessingml/2006/main">
              <w:jc w:val="right"/>
              <w:ind w:right="20"/>
              <w:spacing w:after="0"/>
              <w:rPr>
                <w:sz w:val="20"/>
                <w:szCs w:val="20"/>
                <w:color w:val="auto"/>
              </w:rPr>
            </w:pPr>
            <w:r>
              <w:rPr xmlns:w="http://schemas.openxmlformats.org/wordprocessingml/2006/main">
                <w:rFonts w:ascii="Arial" w:cs="Arial" w:eastAsia="Arial" w:hAnsi="Arial"/>
                <w:sz w:val="16"/>
                <w:szCs w:val="16"/>
                <w:color w:val="auto"/>
              </w:rPr>
              <w:t xml:space="preserve">-0,8</w:t>
            </w:r>
          </w:p>
        </w:tc>
        <w:tc>
          <w:tcPr>
            <w:tcW w:w="20" w:type="dxa"/>
            <w:vAlign w:val="bottom"/>
            <w:vMerge w:val="restart"/>
            <w:shd w:val="clear" w:color="auto" w:fill="808080"/>
          </w:tcPr>
          <w:p>
            <w:pPr>
              <w:spacing w:after="0" w:line="20" w:lineRule="exact"/>
              <w:rPr>
                <w:sz w:val="1"/>
                <w:szCs w:val="1"/>
                <w:color w:val="auto"/>
              </w:rPr>
            </w:pPr>
          </w:p>
        </w:tc>
        <w:tc>
          <w:tcPr>
            <w:tcW w:w="560" w:type="dxa"/>
            <w:vAlign w:val="bottom"/>
            <w:vMerge w:val="restart"/>
          </w:tcPr>
          <w:p>
            <w:pPr xmlns:w="http://schemas.openxmlformats.org/wordprocessingml/2006/main">
              <w:jc w:val="right"/>
              <w:ind w:right="20"/>
              <w:spacing w:after="0"/>
              <w:rPr>
                <w:sz w:val="20"/>
                <w:szCs w:val="20"/>
                <w:color w:val="auto"/>
              </w:rPr>
            </w:pPr>
            <w:r>
              <w:rPr xmlns:w="http://schemas.openxmlformats.org/wordprocessingml/2006/main">
                <w:rFonts w:ascii="Arial" w:cs="Arial" w:eastAsia="Arial" w:hAnsi="Arial"/>
                <w:sz w:val="16"/>
                <w:szCs w:val="16"/>
                <w:color w:val="auto"/>
              </w:rPr>
              <w:t xml:space="preserve">10,3</w:t>
            </w:r>
          </w:p>
        </w:tc>
        <w:tc>
          <w:tcPr>
            <w:tcW w:w="20" w:type="dxa"/>
            <w:vAlign w:val="bottom"/>
            <w:vMerge w:val="restart"/>
            <w:shd w:val="clear" w:color="auto" w:fill="808080"/>
          </w:tcPr>
          <w:p>
            <w:pPr>
              <w:spacing w:after="0" w:line="20" w:lineRule="exact"/>
              <w:rPr>
                <w:sz w:val="1"/>
                <w:szCs w:val="1"/>
                <w:color w:val="auto"/>
              </w:rPr>
            </w:pPr>
          </w:p>
        </w:tc>
        <w:tc>
          <w:tcPr>
            <w:tcW w:w="560" w:type="dxa"/>
            <w:vAlign w:val="bottom"/>
            <w:vMerge w:val="restart"/>
          </w:tcPr>
          <w:p>
            <w:pPr xmlns:w="http://schemas.openxmlformats.org/wordprocessingml/2006/main">
              <w:jc w:val="right"/>
              <w:ind w:right="20"/>
              <w:spacing w:after="0"/>
              <w:rPr>
                <w:sz w:val="20"/>
                <w:szCs w:val="20"/>
                <w:color w:val="auto"/>
              </w:rPr>
            </w:pPr>
            <w:r>
              <w:rPr xmlns:w="http://schemas.openxmlformats.org/wordprocessingml/2006/main">
                <w:rFonts w:ascii="Arial" w:cs="Arial" w:eastAsia="Arial" w:hAnsi="Arial"/>
                <w:sz w:val="16"/>
                <w:szCs w:val="16"/>
                <w:color w:val="auto"/>
              </w:rPr>
              <w:t xml:space="preserve">-21,9</w:t>
            </w:r>
          </w:p>
        </w:tc>
        <w:tc>
          <w:tcPr>
            <w:tcW w:w="20" w:type="dxa"/>
            <w:vAlign w:val="bottom"/>
            <w:vMerge w:val="restart"/>
            <w:shd w:val="clear" w:color="auto" w:fill="808080"/>
          </w:tcPr>
          <w:p>
            <w:pPr>
              <w:spacing w:after="0" w:line="20" w:lineRule="exact"/>
              <w:rPr>
                <w:sz w:val="1"/>
                <w:szCs w:val="1"/>
                <w:color w:val="auto"/>
              </w:rPr>
            </w:pPr>
          </w:p>
        </w:tc>
        <w:tc>
          <w:tcPr>
            <w:tcW w:w="560" w:type="dxa"/>
            <w:vAlign w:val="bottom"/>
            <w:vMerge w:val="restart"/>
          </w:tcPr>
          <w:p>
            <w:pPr xmlns:w="http://schemas.openxmlformats.org/wordprocessingml/2006/main">
              <w:jc w:val="right"/>
              <w:ind w:right="20"/>
              <w:spacing w:after="0"/>
              <w:rPr>
                <w:sz w:val="20"/>
                <w:szCs w:val="20"/>
                <w:color w:val="auto"/>
              </w:rPr>
            </w:pPr>
            <w:r>
              <w:rPr xmlns:w="http://schemas.openxmlformats.org/wordprocessingml/2006/main">
                <w:rFonts w:ascii="Arial" w:cs="Arial" w:eastAsia="Arial" w:hAnsi="Arial"/>
                <w:sz w:val="16"/>
                <w:szCs w:val="16"/>
                <w:color w:val="auto"/>
              </w:rPr>
              <w:t xml:space="preserve">21,6</w:t>
            </w:r>
          </w:p>
        </w:tc>
        <w:tc>
          <w:tcPr>
            <w:tcW w:w="20" w:type="dxa"/>
            <w:vAlign w:val="bottom"/>
            <w:vMerge w:val="restart"/>
            <w:shd w:val="clear" w:color="auto" w:fill="808080"/>
          </w:tcPr>
          <w:p>
            <w:pPr>
              <w:spacing w:after="0" w:line="20" w:lineRule="exact"/>
              <w:rPr>
                <w:sz w:val="1"/>
                <w:szCs w:val="1"/>
                <w:color w:val="auto"/>
              </w:rPr>
            </w:pPr>
          </w:p>
        </w:tc>
        <w:tc>
          <w:tcPr>
            <w:tcW w:w="580" w:type="dxa"/>
            <w:vAlign w:val="bottom"/>
            <w:vMerge w:val="restart"/>
          </w:tcPr>
          <w:p>
            <w:pPr xmlns:w="http://schemas.openxmlformats.org/wordprocessingml/2006/main">
              <w:jc w:val="right"/>
              <w:ind w:right="20"/>
              <w:spacing w:after="0"/>
              <w:rPr>
                <w:sz w:val="20"/>
                <w:szCs w:val="20"/>
                <w:color w:val="auto"/>
              </w:rPr>
            </w:pPr>
            <w:r>
              <w:rPr xmlns:w="http://schemas.openxmlformats.org/wordprocessingml/2006/main">
                <w:rFonts w:ascii="Arial" w:cs="Arial" w:eastAsia="Arial" w:hAnsi="Arial"/>
                <w:sz w:val="16"/>
                <w:szCs w:val="16"/>
                <w:color w:val="auto"/>
              </w:rPr>
              <w:t xml:space="preserve">29,2</w:t>
            </w:r>
          </w:p>
        </w:tc>
        <w:tc>
          <w:tcPr>
            <w:tcW w:w="0" w:type="dxa"/>
            <w:vAlign w:val="bottom"/>
          </w:tcPr>
          <w:p>
            <w:pPr>
              <w:spacing w:after="0" w:line="20" w:lineRule="exact"/>
              <w:rPr>
                <w:sz w:val="1"/>
                <w:szCs w:val="1"/>
                <w:color w:val="auto"/>
              </w:rPr>
            </w:pPr>
          </w:p>
        </w:tc>
      </w:tr>
      <w:tr>
        <w:trPr>
          <w:trHeight w:val="144"/>
        </w:trPr>
        <w:tc>
          <w:tcPr>
            <w:tcW w:w="3600" w:type="dxa"/>
            <w:vAlign w:val="bottom"/>
          </w:tcPr>
          <w:p>
            <w:pPr>
              <w:spacing w:after="0"/>
              <w:rPr>
                <w:sz w:val="12"/>
                <w:szCs w:val="12"/>
                <w:color w:val="auto"/>
              </w:rPr>
            </w:pPr>
          </w:p>
        </w:tc>
        <w:tc>
          <w:tcPr>
            <w:tcW w:w="140" w:type="dxa"/>
            <w:vAlign w:val="bottom"/>
            <w:shd w:val="clear" w:color="auto" w:fill="FF4713"/>
          </w:tcPr>
          <w:p>
            <w:pPr>
              <w:spacing w:after="0"/>
              <w:rPr>
                <w:sz w:val="12"/>
                <w:szCs w:val="12"/>
                <w:color w:val="auto"/>
              </w:rPr>
            </w:pPr>
          </w:p>
        </w:tc>
        <w:tc>
          <w:tcPr>
            <w:tcW w:w="1120" w:type="dxa"/>
            <w:vAlign w:val="bottom"/>
            <w:tcBorders>
              <w:right w:val="single" w:sz="8" w:color="808080"/>
            </w:tcBorders>
            <w:vMerge w:val="continue"/>
          </w:tcPr>
          <w:p>
            <w:pPr>
              <w:spacing w:after="0"/>
              <w:rPr>
                <w:sz w:val="12"/>
                <w:szCs w:val="12"/>
                <w:color w:val="auto"/>
              </w:rPr>
            </w:pPr>
          </w:p>
        </w:tc>
        <w:tc>
          <w:tcPr>
            <w:tcW w:w="580" w:type="dxa"/>
            <w:vAlign w:val="bottom"/>
            <w:tcBorders>
              <w:right w:val="single" w:sz="8" w:color="808080"/>
            </w:tcBorders>
            <w:vMerge w:val="continue"/>
          </w:tcPr>
          <w:p>
            <w:pPr>
              <w:spacing w:after="0"/>
              <w:rPr>
                <w:sz w:val="12"/>
                <w:szCs w:val="12"/>
                <w:color w:val="auto"/>
              </w:rPr>
            </w:pPr>
          </w:p>
        </w:tc>
        <w:tc>
          <w:tcPr>
            <w:tcW w:w="560" w:type="dxa"/>
            <w:vAlign w:val="bottom"/>
            <w:vMerge w:val="continue"/>
          </w:tcPr>
          <w:p>
            <w:pPr>
              <w:spacing w:after="0"/>
              <w:rPr>
                <w:sz w:val="12"/>
                <w:szCs w:val="12"/>
                <w:color w:val="auto"/>
              </w:rPr>
            </w:pPr>
          </w:p>
        </w:tc>
        <w:tc>
          <w:tcPr>
            <w:tcW w:w="20" w:type="dxa"/>
            <w:vAlign w:val="bottom"/>
            <w:vMerge w:val="continue"/>
            <w:shd w:val="clear" w:color="auto" w:fill="808080"/>
          </w:tcPr>
          <w:p>
            <w:pPr>
              <w:spacing w:after="0"/>
              <w:rPr>
                <w:sz w:val="12"/>
                <w:szCs w:val="12"/>
                <w:color w:val="auto"/>
              </w:rPr>
            </w:pPr>
          </w:p>
        </w:tc>
        <w:tc>
          <w:tcPr>
            <w:tcW w:w="560" w:type="dxa"/>
            <w:vAlign w:val="bottom"/>
            <w:vMerge w:val="continue"/>
          </w:tcPr>
          <w:p>
            <w:pPr>
              <w:spacing w:after="0"/>
              <w:rPr>
                <w:sz w:val="12"/>
                <w:szCs w:val="12"/>
                <w:color w:val="auto"/>
              </w:rPr>
            </w:pPr>
          </w:p>
        </w:tc>
        <w:tc>
          <w:tcPr>
            <w:tcW w:w="20" w:type="dxa"/>
            <w:vAlign w:val="bottom"/>
            <w:vMerge w:val="continue"/>
            <w:shd w:val="clear" w:color="auto" w:fill="808080"/>
          </w:tcPr>
          <w:p>
            <w:pPr>
              <w:spacing w:after="0"/>
              <w:rPr>
                <w:sz w:val="12"/>
                <w:szCs w:val="12"/>
                <w:color w:val="auto"/>
              </w:rPr>
            </w:pPr>
          </w:p>
        </w:tc>
        <w:tc>
          <w:tcPr>
            <w:tcW w:w="560" w:type="dxa"/>
            <w:vAlign w:val="bottom"/>
            <w:vMerge w:val="continue"/>
          </w:tcPr>
          <w:p>
            <w:pPr>
              <w:spacing w:after="0"/>
              <w:rPr>
                <w:sz w:val="12"/>
                <w:szCs w:val="12"/>
                <w:color w:val="auto"/>
              </w:rPr>
            </w:pPr>
          </w:p>
        </w:tc>
        <w:tc>
          <w:tcPr>
            <w:tcW w:w="20" w:type="dxa"/>
            <w:vAlign w:val="bottom"/>
            <w:vMerge w:val="continue"/>
            <w:shd w:val="clear" w:color="auto" w:fill="808080"/>
          </w:tcPr>
          <w:p>
            <w:pPr>
              <w:spacing w:after="0"/>
              <w:rPr>
                <w:sz w:val="12"/>
                <w:szCs w:val="12"/>
                <w:color w:val="auto"/>
              </w:rPr>
            </w:pPr>
          </w:p>
        </w:tc>
        <w:tc>
          <w:tcPr>
            <w:tcW w:w="560" w:type="dxa"/>
            <w:vAlign w:val="bottom"/>
            <w:vMerge w:val="continue"/>
          </w:tcPr>
          <w:p>
            <w:pPr>
              <w:spacing w:after="0"/>
              <w:rPr>
                <w:sz w:val="12"/>
                <w:szCs w:val="12"/>
                <w:color w:val="auto"/>
              </w:rPr>
            </w:pPr>
          </w:p>
        </w:tc>
        <w:tc>
          <w:tcPr>
            <w:tcW w:w="20" w:type="dxa"/>
            <w:vAlign w:val="bottom"/>
            <w:vMerge w:val="continue"/>
            <w:shd w:val="clear" w:color="auto" w:fill="808080"/>
          </w:tcPr>
          <w:p>
            <w:pPr>
              <w:spacing w:after="0"/>
              <w:rPr>
                <w:sz w:val="12"/>
                <w:szCs w:val="12"/>
                <w:color w:val="auto"/>
              </w:rPr>
            </w:pPr>
          </w:p>
        </w:tc>
        <w:tc>
          <w:tcPr>
            <w:tcW w:w="560" w:type="dxa"/>
            <w:vAlign w:val="bottom"/>
            <w:vMerge w:val="continue"/>
          </w:tcPr>
          <w:p>
            <w:pPr>
              <w:spacing w:after="0"/>
              <w:rPr>
                <w:sz w:val="12"/>
                <w:szCs w:val="12"/>
                <w:color w:val="auto"/>
              </w:rPr>
            </w:pPr>
          </w:p>
        </w:tc>
        <w:tc>
          <w:tcPr>
            <w:tcW w:w="20" w:type="dxa"/>
            <w:vAlign w:val="bottom"/>
            <w:vMerge w:val="continue"/>
            <w:shd w:val="clear" w:color="auto" w:fill="808080"/>
          </w:tcPr>
          <w:p>
            <w:pPr>
              <w:spacing w:after="0"/>
              <w:rPr>
                <w:sz w:val="12"/>
                <w:szCs w:val="12"/>
                <w:color w:val="auto"/>
              </w:rPr>
            </w:pPr>
          </w:p>
        </w:tc>
        <w:tc>
          <w:tcPr>
            <w:tcW w:w="560" w:type="dxa"/>
            <w:vAlign w:val="bottom"/>
            <w:vMerge w:val="continue"/>
          </w:tcPr>
          <w:p>
            <w:pPr>
              <w:spacing w:after="0"/>
              <w:rPr>
                <w:sz w:val="12"/>
                <w:szCs w:val="12"/>
                <w:color w:val="auto"/>
              </w:rPr>
            </w:pPr>
          </w:p>
        </w:tc>
        <w:tc>
          <w:tcPr>
            <w:tcW w:w="20" w:type="dxa"/>
            <w:vAlign w:val="bottom"/>
            <w:vMerge w:val="continue"/>
            <w:shd w:val="clear" w:color="auto" w:fill="808080"/>
          </w:tcPr>
          <w:p>
            <w:pPr>
              <w:spacing w:after="0"/>
              <w:rPr>
                <w:sz w:val="12"/>
                <w:szCs w:val="12"/>
                <w:color w:val="auto"/>
              </w:rPr>
            </w:pPr>
          </w:p>
        </w:tc>
        <w:tc>
          <w:tcPr>
            <w:tcW w:w="560" w:type="dxa"/>
            <w:vAlign w:val="bottom"/>
            <w:vMerge w:val="continue"/>
          </w:tcPr>
          <w:p>
            <w:pPr>
              <w:spacing w:after="0"/>
              <w:rPr>
                <w:sz w:val="12"/>
                <w:szCs w:val="12"/>
                <w:color w:val="auto"/>
              </w:rPr>
            </w:pPr>
          </w:p>
        </w:tc>
        <w:tc>
          <w:tcPr>
            <w:tcW w:w="20" w:type="dxa"/>
            <w:vAlign w:val="bottom"/>
            <w:vMerge w:val="continue"/>
            <w:shd w:val="clear" w:color="auto" w:fill="808080"/>
          </w:tcPr>
          <w:p>
            <w:pPr>
              <w:spacing w:after="0"/>
              <w:rPr>
                <w:sz w:val="12"/>
                <w:szCs w:val="12"/>
                <w:color w:val="auto"/>
              </w:rPr>
            </w:pPr>
          </w:p>
        </w:tc>
        <w:tc>
          <w:tcPr>
            <w:tcW w:w="560" w:type="dxa"/>
            <w:vAlign w:val="bottom"/>
            <w:vMerge w:val="continue"/>
          </w:tcPr>
          <w:p>
            <w:pPr>
              <w:spacing w:after="0"/>
              <w:rPr>
                <w:sz w:val="12"/>
                <w:szCs w:val="12"/>
                <w:color w:val="auto"/>
              </w:rPr>
            </w:pPr>
          </w:p>
        </w:tc>
        <w:tc>
          <w:tcPr>
            <w:tcW w:w="20" w:type="dxa"/>
            <w:vAlign w:val="bottom"/>
            <w:vMerge w:val="continue"/>
            <w:shd w:val="clear" w:color="auto" w:fill="808080"/>
          </w:tcPr>
          <w:p>
            <w:pPr>
              <w:spacing w:after="0"/>
              <w:rPr>
                <w:sz w:val="12"/>
                <w:szCs w:val="12"/>
                <w:color w:val="auto"/>
              </w:rPr>
            </w:pPr>
          </w:p>
        </w:tc>
        <w:tc>
          <w:tcPr>
            <w:tcW w:w="580" w:type="dxa"/>
            <w:vAlign w:val="bottom"/>
            <w:vMerge w:val="continue"/>
          </w:tcPr>
          <w:p>
            <w:pPr>
              <w:spacing w:after="0"/>
              <w:rPr>
                <w:sz w:val="12"/>
                <w:szCs w:val="12"/>
                <w:color w:val="auto"/>
              </w:rPr>
            </w:pPr>
          </w:p>
        </w:tc>
        <w:tc>
          <w:tcPr>
            <w:tcW w:w="0" w:type="dxa"/>
            <w:vAlign w:val="bottom"/>
          </w:tcPr>
          <w:p>
            <w:pPr>
              <w:spacing w:after="0"/>
              <w:rPr>
                <w:sz w:val="1"/>
                <w:szCs w:val="1"/>
                <w:color w:val="auto"/>
              </w:rPr>
            </w:pPr>
          </w:p>
        </w:tc>
      </w:tr>
      <w:tr>
        <w:trPr>
          <w:trHeight w:val="63"/>
        </w:trPr>
        <w:tc>
          <w:tcPr>
            <w:tcW w:w="3600" w:type="dxa"/>
            <w:vAlign w:val="bottom"/>
          </w:tcPr>
          <w:p>
            <w:pPr>
              <w:spacing w:after="0"/>
              <w:rPr>
                <w:sz w:val="5"/>
                <w:szCs w:val="5"/>
                <w:color w:val="auto"/>
              </w:rPr>
            </w:pPr>
          </w:p>
        </w:tc>
        <w:tc>
          <w:tcPr>
            <w:tcW w:w="140" w:type="dxa"/>
            <w:vAlign w:val="bottom"/>
            <w:tcBorders>
              <w:bottom w:val="single" w:sz="8" w:color="808080"/>
            </w:tcBorders>
          </w:tcPr>
          <w:p>
            <w:pPr>
              <w:spacing w:after="0"/>
              <w:rPr>
                <w:sz w:val="5"/>
                <w:szCs w:val="5"/>
                <w:color w:val="auto"/>
              </w:rPr>
            </w:pPr>
          </w:p>
        </w:tc>
        <w:tc>
          <w:tcPr>
            <w:tcW w:w="1120" w:type="dxa"/>
            <w:vAlign w:val="bottom"/>
            <w:tcBorders>
              <w:bottom w:val="single" w:sz="8" w:color="808080"/>
              <w:right w:val="single" w:sz="8" w:color="808080"/>
            </w:tcBorders>
            <w:vMerge w:val="continue"/>
          </w:tcPr>
          <w:p>
            <w:pPr>
              <w:spacing w:after="0"/>
              <w:rPr>
                <w:sz w:val="5"/>
                <w:szCs w:val="5"/>
                <w:color w:val="auto"/>
              </w:rPr>
            </w:pPr>
          </w:p>
        </w:tc>
        <w:tc>
          <w:tcPr>
            <w:tcW w:w="580" w:type="dxa"/>
            <w:vAlign w:val="bottom"/>
            <w:tcBorders>
              <w:bottom w:val="single" w:sz="8" w:color="808080"/>
              <w:right w:val="single" w:sz="8" w:color="808080"/>
            </w:tcBorders>
            <w:vMerge w:val="continue"/>
          </w:tcPr>
          <w:p>
            <w:pPr>
              <w:spacing w:after="0"/>
              <w:rPr>
                <w:sz w:val="5"/>
                <w:szCs w:val="5"/>
                <w:color w:val="auto"/>
              </w:rPr>
            </w:pPr>
          </w:p>
        </w:tc>
        <w:tc>
          <w:tcPr>
            <w:tcW w:w="560" w:type="dxa"/>
            <w:vAlign w:val="bottom"/>
            <w:tcBorders>
              <w:bottom w:val="single" w:sz="8" w:color="808080"/>
            </w:tcBorders>
            <w:vMerge w:val="continue"/>
          </w:tcPr>
          <w:p>
            <w:pPr>
              <w:spacing w:after="0"/>
              <w:rPr>
                <w:sz w:val="5"/>
                <w:szCs w:val="5"/>
                <w:color w:val="auto"/>
              </w:rPr>
            </w:pPr>
          </w:p>
        </w:tc>
        <w:tc>
          <w:tcPr>
            <w:tcW w:w="20" w:type="dxa"/>
            <w:vAlign w:val="bottom"/>
            <w:tcBorders>
              <w:bottom w:val="single" w:sz="8" w:color="808080"/>
            </w:tcBorders>
            <w:vMerge w:val="continue"/>
            <w:shd w:val="clear" w:color="auto" w:fill="808080"/>
          </w:tcPr>
          <w:p>
            <w:pPr>
              <w:spacing w:after="0"/>
              <w:rPr>
                <w:sz w:val="5"/>
                <w:szCs w:val="5"/>
                <w:color w:val="auto"/>
              </w:rPr>
            </w:pPr>
          </w:p>
        </w:tc>
        <w:tc>
          <w:tcPr>
            <w:tcW w:w="560" w:type="dxa"/>
            <w:vAlign w:val="bottom"/>
            <w:tcBorders>
              <w:bottom w:val="single" w:sz="8" w:color="808080"/>
            </w:tcBorders>
            <w:vMerge w:val="continue"/>
          </w:tcPr>
          <w:p>
            <w:pPr>
              <w:spacing w:after="0"/>
              <w:rPr>
                <w:sz w:val="5"/>
                <w:szCs w:val="5"/>
                <w:color w:val="auto"/>
              </w:rPr>
            </w:pPr>
          </w:p>
        </w:tc>
        <w:tc>
          <w:tcPr>
            <w:tcW w:w="20" w:type="dxa"/>
            <w:vAlign w:val="bottom"/>
            <w:tcBorders>
              <w:bottom w:val="single" w:sz="8" w:color="808080"/>
            </w:tcBorders>
            <w:vMerge w:val="continue"/>
            <w:shd w:val="clear" w:color="auto" w:fill="808080"/>
          </w:tcPr>
          <w:p>
            <w:pPr>
              <w:spacing w:after="0"/>
              <w:rPr>
                <w:sz w:val="5"/>
                <w:szCs w:val="5"/>
                <w:color w:val="auto"/>
              </w:rPr>
            </w:pPr>
          </w:p>
        </w:tc>
        <w:tc>
          <w:tcPr>
            <w:tcW w:w="560" w:type="dxa"/>
            <w:vAlign w:val="bottom"/>
            <w:tcBorders>
              <w:bottom w:val="single" w:sz="8" w:color="808080"/>
            </w:tcBorders>
            <w:vMerge w:val="continue"/>
          </w:tcPr>
          <w:p>
            <w:pPr>
              <w:spacing w:after="0"/>
              <w:rPr>
                <w:sz w:val="5"/>
                <w:szCs w:val="5"/>
                <w:color w:val="auto"/>
              </w:rPr>
            </w:pPr>
          </w:p>
        </w:tc>
        <w:tc>
          <w:tcPr>
            <w:tcW w:w="20" w:type="dxa"/>
            <w:vAlign w:val="bottom"/>
            <w:tcBorders>
              <w:bottom w:val="single" w:sz="8" w:color="808080"/>
            </w:tcBorders>
            <w:vMerge w:val="continue"/>
            <w:shd w:val="clear" w:color="auto" w:fill="808080"/>
          </w:tcPr>
          <w:p>
            <w:pPr>
              <w:spacing w:after="0"/>
              <w:rPr>
                <w:sz w:val="5"/>
                <w:szCs w:val="5"/>
                <w:color w:val="auto"/>
              </w:rPr>
            </w:pPr>
          </w:p>
        </w:tc>
        <w:tc>
          <w:tcPr>
            <w:tcW w:w="560" w:type="dxa"/>
            <w:vAlign w:val="bottom"/>
            <w:tcBorders>
              <w:bottom w:val="single" w:sz="8" w:color="808080"/>
            </w:tcBorders>
            <w:vMerge w:val="continue"/>
          </w:tcPr>
          <w:p>
            <w:pPr>
              <w:spacing w:after="0"/>
              <w:rPr>
                <w:sz w:val="5"/>
                <w:szCs w:val="5"/>
                <w:color w:val="auto"/>
              </w:rPr>
            </w:pPr>
          </w:p>
        </w:tc>
        <w:tc>
          <w:tcPr>
            <w:tcW w:w="20" w:type="dxa"/>
            <w:vAlign w:val="bottom"/>
            <w:tcBorders>
              <w:bottom w:val="single" w:sz="8" w:color="808080"/>
            </w:tcBorders>
            <w:vMerge w:val="continue"/>
            <w:shd w:val="clear" w:color="auto" w:fill="808080"/>
          </w:tcPr>
          <w:p>
            <w:pPr>
              <w:spacing w:after="0"/>
              <w:rPr>
                <w:sz w:val="5"/>
                <w:szCs w:val="5"/>
                <w:color w:val="auto"/>
              </w:rPr>
            </w:pPr>
          </w:p>
        </w:tc>
        <w:tc>
          <w:tcPr>
            <w:tcW w:w="560" w:type="dxa"/>
            <w:vAlign w:val="bottom"/>
            <w:tcBorders>
              <w:bottom w:val="single" w:sz="8" w:color="808080"/>
            </w:tcBorders>
            <w:vMerge w:val="continue"/>
          </w:tcPr>
          <w:p>
            <w:pPr>
              <w:spacing w:after="0"/>
              <w:rPr>
                <w:sz w:val="5"/>
                <w:szCs w:val="5"/>
                <w:color w:val="auto"/>
              </w:rPr>
            </w:pPr>
          </w:p>
        </w:tc>
        <w:tc>
          <w:tcPr>
            <w:tcW w:w="20" w:type="dxa"/>
            <w:vAlign w:val="bottom"/>
            <w:tcBorders>
              <w:bottom w:val="single" w:sz="8" w:color="808080"/>
            </w:tcBorders>
            <w:vMerge w:val="continue"/>
            <w:shd w:val="clear" w:color="auto" w:fill="808080"/>
          </w:tcPr>
          <w:p>
            <w:pPr>
              <w:spacing w:after="0"/>
              <w:rPr>
                <w:sz w:val="5"/>
                <w:szCs w:val="5"/>
                <w:color w:val="auto"/>
              </w:rPr>
            </w:pPr>
          </w:p>
        </w:tc>
        <w:tc>
          <w:tcPr>
            <w:tcW w:w="560" w:type="dxa"/>
            <w:vAlign w:val="bottom"/>
            <w:tcBorders>
              <w:bottom w:val="single" w:sz="8" w:color="808080"/>
            </w:tcBorders>
            <w:vMerge w:val="continue"/>
          </w:tcPr>
          <w:p>
            <w:pPr>
              <w:spacing w:after="0"/>
              <w:rPr>
                <w:sz w:val="5"/>
                <w:szCs w:val="5"/>
                <w:color w:val="auto"/>
              </w:rPr>
            </w:pPr>
          </w:p>
        </w:tc>
        <w:tc>
          <w:tcPr>
            <w:tcW w:w="20" w:type="dxa"/>
            <w:vAlign w:val="bottom"/>
            <w:tcBorders>
              <w:bottom w:val="single" w:sz="8" w:color="808080"/>
            </w:tcBorders>
            <w:vMerge w:val="continue"/>
            <w:shd w:val="clear" w:color="auto" w:fill="808080"/>
          </w:tcPr>
          <w:p>
            <w:pPr>
              <w:spacing w:after="0"/>
              <w:rPr>
                <w:sz w:val="5"/>
                <w:szCs w:val="5"/>
                <w:color w:val="auto"/>
              </w:rPr>
            </w:pPr>
          </w:p>
        </w:tc>
        <w:tc>
          <w:tcPr>
            <w:tcW w:w="560" w:type="dxa"/>
            <w:vAlign w:val="bottom"/>
            <w:tcBorders>
              <w:bottom w:val="single" w:sz="8" w:color="808080"/>
            </w:tcBorders>
            <w:vMerge w:val="continue"/>
          </w:tcPr>
          <w:p>
            <w:pPr>
              <w:spacing w:after="0"/>
              <w:rPr>
                <w:sz w:val="5"/>
                <w:szCs w:val="5"/>
                <w:color w:val="auto"/>
              </w:rPr>
            </w:pPr>
          </w:p>
        </w:tc>
        <w:tc>
          <w:tcPr>
            <w:tcW w:w="20" w:type="dxa"/>
            <w:vAlign w:val="bottom"/>
            <w:tcBorders>
              <w:bottom w:val="single" w:sz="8" w:color="808080"/>
            </w:tcBorders>
            <w:vMerge w:val="continue"/>
            <w:shd w:val="clear" w:color="auto" w:fill="808080"/>
          </w:tcPr>
          <w:p>
            <w:pPr>
              <w:spacing w:after="0"/>
              <w:rPr>
                <w:sz w:val="5"/>
                <w:szCs w:val="5"/>
                <w:color w:val="auto"/>
              </w:rPr>
            </w:pPr>
          </w:p>
        </w:tc>
        <w:tc>
          <w:tcPr>
            <w:tcW w:w="560" w:type="dxa"/>
            <w:vAlign w:val="bottom"/>
            <w:tcBorders>
              <w:bottom w:val="single" w:sz="8" w:color="808080"/>
            </w:tcBorders>
            <w:vMerge w:val="continue"/>
          </w:tcPr>
          <w:p>
            <w:pPr>
              <w:spacing w:after="0"/>
              <w:rPr>
                <w:sz w:val="5"/>
                <w:szCs w:val="5"/>
                <w:color w:val="auto"/>
              </w:rPr>
            </w:pPr>
          </w:p>
        </w:tc>
        <w:tc>
          <w:tcPr>
            <w:tcW w:w="20" w:type="dxa"/>
            <w:vAlign w:val="bottom"/>
            <w:tcBorders>
              <w:bottom w:val="single" w:sz="8" w:color="808080"/>
            </w:tcBorders>
            <w:vMerge w:val="continue"/>
            <w:shd w:val="clear" w:color="auto" w:fill="808080"/>
          </w:tcPr>
          <w:p>
            <w:pPr>
              <w:spacing w:after="0"/>
              <w:rPr>
                <w:sz w:val="5"/>
                <w:szCs w:val="5"/>
                <w:color w:val="auto"/>
              </w:rPr>
            </w:pPr>
          </w:p>
        </w:tc>
        <w:tc>
          <w:tcPr>
            <w:tcW w:w="580" w:type="dxa"/>
            <w:vAlign w:val="bottom"/>
            <w:tcBorders>
              <w:bottom w:val="single" w:sz="8" w:color="808080"/>
            </w:tcBorders>
            <w:vMerge w:val="continue"/>
          </w:tcPr>
          <w:p>
            <w:pPr>
              <w:spacing w:after="0"/>
              <w:rPr>
                <w:sz w:val="5"/>
                <w:szCs w:val="5"/>
                <w:color w:val="auto"/>
              </w:rPr>
            </w:pPr>
          </w:p>
        </w:tc>
        <w:tc>
          <w:tcPr>
            <w:tcW w:w="0" w:type="dxa"/>
            <w:vAlign w:val="bottom"/>
          </w:tcPr>
          <w:p>
            <w:pPr>
              <w:spacing w:after="0"/>
              <w:rPr>
                <w:sz w:val="1"/>
                <w:szCs w:val="1"/>
                <w:color w:val="auto"/>
              </w:rPr>
            </w:pPr>
          </w:p>
        </w:tc>
      </w:tr>
      <w:tr>
        <w:trPr>
          <w:trHeight w:val="164"/>
        </w:trPr>
        <w:tc>
          <w:tcPr>
            <w:tcW w:w="3600" w:type="dxa"/>
            <w:vAlign w:val="bottom"/>
          </w:tcPr>
          <w:p>
            <w:pPr>
              <w:spacing w:after="0"/>
              <w:rPr>
                <w:sz w:val="14"/>
                <w:szCs w:val="14"/>
                <w:color w:val="auto"/>
              </w:rPr>
            </w:pPr>
          </w:p>
        </w:tc>
        <w:tc>
          <w:tcPr>
            <w:tcW w:w="140" w:type="dxa"/>
            <w:vAlign w:val="bottom"/>
            <w:shd w:val="clear" w:color="auto" w:fill="FFCE00"/>
          </w:tcPr>
          <w:p>
            <w:pPr>
              <w:spacing w:after="0"/>
              <w:rPr>
                <w:sz w:val="14"/>
                <w:szCs w:val="14"/>
                <w:color w:val="auto"/>
              </w:rPr>
            </w:pPr>
          </w:p>
        </w:tc>
        <w:tc>
          <w:tcPr>
            <w:tcW w:w="1120" w:type="dxa"/>
            <w:vAlign w:val="bottom"/>
            <w:tcBorders>
              <w:right w:val="single" w:sz="8" w:color="808080"/>
            </w:tcBorders>
            <w:vMerge w:val="restart"/>
          </w:tcPr>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16"/>
                <w:szCs w:val="16"/>
                <w:color w:val="auto"/>
              </w:rPr>
              <w:t xml:space="preserve">Σημείο αναφοράς †</w:t>
            </w:r>
          </w:p>
        </w:tc>
        <w:tc>
          <w:tcPr>
            <w:tcW w:w="580" w:type="dxa"/>
            <w:vAlign w:val="bottom"/>
            <w:tcBorders>
              <w:right w:val="single" w:sz="8" w:color="808080"/>
            </w:tcBorders>
            <w:vMerge w:val="restart"/>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8,3</w:t>
            </w:r>
          </w:p>
        </w:tc>
        <w:tc>
          <w:tcPr>
            <w:tcW w:w="560" w:type="dxa"/>
            <w:vAlign w:val="bottom"/>
            <w:vMerge w:val="restart"/>
          </w:tcPr>
          <w:p>
            <w:pPr xmlns:w="http://schemas.openxmlformats.org/wordprocessingml/2006/main">
              <w:jc w:val="right"/>
              <w:ind w:right="20"/>
              <w:spacing w:after="0"/>
              <w:rPr>
                <w:sz w:val="20"/>
                <w:szCs w:val="20"/>
                <w:color w:val="auto"/>
              </w:rPr>
            </w:pPr>
            <w:r>
              <w:rPr xmlns:w="http://schemas.openxmlformats.org/wordprocessingml/2006/main">
                <w:rFonts w:ascii="Arial" w:cs="Arial" w:eastAsia="Arial" w:hAnsi="Arial"/>
                <w:sz w:val="16"/>
                <w:szCs w:val="16"/>
                <w:color w:val="auto"/>
              </w:rPr>
              <w:t xml:space="preserve">-11,8</w:t>
            </w:r>
          </w:p>
        </w:tc>
        <w:tc>
          <w:tcPr>
            <w:tcW w:w="20" w:type="dxa"/>
            <w:vAlign w:val="bottom"/>
            <w:vMerge w:val="restart"/>
            <w:shd w:val="clear" w:color="auto" w:fill="808080"/>
          </w:tcPr>
          <w:p>
            <w:pPr>
              <w:spacing w:after="0"/>
              <w:rPr>
                <w:sz w:val="14"/>
                <w:szCs w:val="14"/>
                <w:color w:val="auto"/>
              </w:rPr>
            </w:pPr>
          </w:p>
        </w:tc>
        <w:tc>
          <w:tcPr>
            <w:tcW w:w="560" w:type="dxa"/>
            <w:vAlign w:val="bottom"/>
            <w:vMerge w:val="restart"/>
          </w:tcPr>
          <w:p>
            <w:pPr xmlns:w="http://schemas.openxmlformats.org/wordprocessingml/2006/main">
              <w:jc w:val="right"/>
              <w:ind w:right="20"/>
              <w:spacing w:after="0"/>
              <w:rPr>
                <w:sz w:val="20"/>
                <w:szCs w:val="20"/>
                <w:color w:val="auto"/>
              </w:rPr>
            </w:pPr>
            <w:r>
              <w:rPr xmlns:w="http://schemas.openxmlformats.org/wordprocessingml/2006/main">
                <w:rFonts w:ascii="Arial" w:cs="Arial" w:eastAsia="Arial" w:hAnsi="Arial"/>
                <w:sz w:val="16"/>
                <w:szCs w:val="16"/>
                <w:color w:val="auto"/>
              </w:rPr>
              <w:t xml:space="preserve">-3,7</w:t>
            </w:r>
          </w:p>
        </w:tc>
        <w:tc>
          <w:tcPr>
            <w:tcW w:w="20" w:type="dxa"/>
            <w:vAlign w:val="bottom"/>
            <w:vMerge w:val="restart"/>
            <w:shd w:val="clear" w:color="auto" w:fill="808080"/>
          </w:tcPr>
          <w:p>
            <w:pPr>
              <w:spacing w:after="0"/>
              <w:rPr>
                <w:sz w:val="14"/>
                <w:szCs w:val="14"/>
                <w:color w:val="auto"/>
              </w:rPr>
            </w:pPr>
          </w:p>
        </w:tc>
        <w:tc>
          <w:tcPr>
            <w:tcW w:w="560" w:type="dxa"/>
            <w:vAlign w:val="bottom"/>
            <w:vMerge w:val="restart"/>
          </w:tcPr>
          <w:p>
            <w:pPr xmlns:w="http://schemas.openxmlformats.org/wordprocessingml/2006/main">
              <w:jc w:val="right"/>
              <w:ind w:right="20"/>
              <w:spacing w:after="0"/>
              <w:rPr>
                <w:sz w:val="20"/>
                <w:szCs w:val="20"/>
                <w:color w:val="auto"/>
              </w:rPr>
            </w:pPr>
            <w:r>
              <w:rPr xmlns:w="http://schemas.openxmlformats.org/wordprocessingml/2006/main">
                <w:rFonts w:ascii="Arial" w:cs="Arial" w:eastAsia="Arial" w:hAnsi="Arial"/>
                <w:sz w:val="16"/>
                <w:szCs w:val="16"/>
                <w:color w:val="auto"/>
              </w:rPr>
              <w:t xml:space="preserve">28,8</w:t>
            </w:r>
          </w:p>
        </w:tc>
        <w:tc>
          <w:tcPr>
            <w:tcW w:w="20" w:type="dxa"/>
            <w:vAlign w:val="bottom"/>
            <w:vMerge w:val="restart"/>
            <w:shd w:val="clear" w:color="auto" w:fill="808080"/>
          </w:tcPr>
          <w:p>
            <w:pPr>
              <w:spacing w:after="0"/>
              <w:rPr>
                <w:sz w:val="14"/>
                <w:szCs w:val="14"/>
                <w:color w:val="auto"/>
              </w:rPr>
            </w:pPr>
          </w:p>
        </w:tc>
        <w:tc>
          <w:tcPr>
            <w:tcW w:w="560" w:type="dxa"/>
            <w:vAlign w:val="bottom"/>
            <w:vMerge w:val="restart"/>
          </w:tcPr>
          <w:p>
            <w:pPr xmlns:w="http://schemas.openxmlformats.org/wordprocessingml/2006/main">
              <w:jc w:val="right"/>
              <w:ind w:right="20"/>
              <w:spacing w:after="0"/>
              <w:rPr>
                <w:sz w:val="20"/>
                <w:szCs w:val="20"/>
                <w:color w:val="auto"/>
              </w:rPr>
            </w:pPr>
            <w:r>
              <w:rPr xmlns:w="http://schemas.openxmlformats.org/wordprocessingml/2006/main">
                <w:rFonts w:ascii="Arial" w:cs="Arial" w:eastAsia="Arial" w:hAnsi="Arial"/>
                <w:sz w:val="16"/>
                <w:szCs w:val="16"/>
                <w:color w:val="auto"/>
              </w:rPr>
              <w:t xml:space="preserve">1,8</w:t>
            </w:r>
          </w:p>
        </w:tc>
        <w:tc>
          <w:tcPr>
            <w:tcW w:w="20" w:type="dxa"/>
            <w:vAlign w:val="bottom"/>
            <w:vMerge w:val="restart"/>
            <w:shd w:val="clear" w:color="auto" w:fill="808080"/>
          </w:tcPr>
          <w:p>
            <w:pPr>
              <w:spacing w:after="0"/>
              <w:rPr>
                <w:sz w:val="14"/>
                <w:szCs w:val="14"/>
                <w:color w:val="auto"/>
              </w:rPr>
            </w:pPr>
          </w:p>
        </w:tc>
        <w:tc>
          <w:tcPr>
            <w:tcW w:w="560" w:type="dxa"/>
            <w:vAlign w:val="bottom"/>
            <w:vMerge w:val="restart"/>
          </w:tcPr>
          <w:p>
            <w:pPr xmlns:w="http://schemas.openxmlformats.org/wordprocessingml/2006/main">
              <w:jc w:val="right"/>
              <w:ind w:right="20"/>
              <w:spacing w:after="0"/>
              <w:rPr>
                <w:sz w:val="20"/>
                <w:szCs w:val="20"/>
                <w:color w:val="auto"/>
              </w:rPr>
            </w:pPr>
            <w:r>
              <w:rPr xmlns:w="http://schemas.openxmlformats.org/wordprocessingml/2006/main">
                <w:rFonts w:ascii="Arial" w:cs="Arial" w:eastAsia="Arial" w:hAnsi="Arial"/>
                <w:sz w:val="16"/>
                <w:szCs w:val="16"/>
                <w:color w:val="auto"/>
              </w:rPr>
              <w:t xml:space="preserve">-0,8</w:t>
            </w:r>
          </w:p>
        </w:tc>
        <w:tc>
          <w:tcPr>
            <w:tcW w:w="20" w:type="dxa"/>
            <w:vAlign w:val="bottom"/>
            <w:vMerge w:val="restart"/>
            <w:shd w:val="clear" w:color="auto" w:fill="808080"/>
          </w:tcPr>
          <w:p>
            <w:pPr>
              <w:spacing w:after="0"/>
              <w:rPr>
                <w:sz w:val="14"/>
                <w:szCs w:val="14"/>
                <w:color w:val="auto"/>
              </w:rPr>
            </w:pPr>
          </w:p>
        </w:tc>
        <w:tc>
          <w:tcPr>
            <w:tcW w:w="560" w:type="dxa"/>
            <w:vAlign w:val="bottom"/>
            <w:vMerge w:val="restart"/>
          </w:tcPr>
          <w:p>
            <w:pPr xmlns:w="http://schemas.openxmlformats.org/wordprocessingml/2006/main">
              <w:jc w:val="right"/>
              <w:ind w:right="20"/>
              <w:spacing w:after="0"/>
              <w:rPr>
                <w:sz w:val="20"/>
                <w:szCs w:val="20"/>
                <w:color w:val="auto"/>
              </w:rPr>
            </w:pPr>
            <w:r>
              <w:rPr xmlns:w="http://schemas.openxmlformats.org/wordprocessingml/2006/main">
                <w:rFonts w:ascii="Arial" w:cs="Arial" w:eastAsia="Arial" w:hAnsi="Arial"/>
                <w:sz w:val="16"/>
                <w:szCs w:val="16"/>
                <w:color w:val="auto"/>
              </w:rPr>
              <w:t xml:space="preserve">10,0</w:t>
            </w:r>
          </w:p>
        </w:tc>
        <w:tc>
          <w:tcPr>
            <w:tcW w:w="20" w:type="dxa"/>
            <w:vAlign w:val="bottom"/>
            <w:vMerge w:val="restart"/>
            <w:shd w:val="clear" w:color="auto" w:fill="808080"/>
          </w:tcPr>
          <w:p>
            <w:pPr>
              <w:spacing w:after="0"/>
              <w:rPr>
                <w:sz w:val="14"/>
                <w:szCs w:val="14"/>
                <w:color w:val="auto"/>
              </w:rPr>
            </w:pPr>
          </w:p>
        </w:tc>
        <w:tc>
          <w:tcPr>
            <w:tcW w:w="560" w:type="dxa"/>
            <w:vAlign w:val="bottom"/>
            <w:vMerge w:val="restart"/>
          </w:tcPr>
          <w:p>
            <w:pPr xmlns:w="http://schemas.openxmlformats.org/wordprocessingml/2006/main">
              <w:jc w:val="right"/>
              <w:ind w:right="20"/>
              <w:spacing w:after="0"/>
              <w:rPr>
                <w:sz w:val="20"/>
                <w:szCs w:val="20"/>
                <w:color w:val="auto"/>
              </w:rPr>
            </w:pPr>
            <w:r>
              <w:rPr xmlns:w="http://schemas.openxmlformats.org/wordprocessingml/2006/main">
                <w:rFonts w:ascii="Arial" w:cs="Arial" w:eastAsia="Arial" w:hAnsi="Arial"/>
                <w:sz w:val="16"/>
                <w:szCs w:val="16"/>
                <w:color w:val="auto"/>
              </w:rPr>
              <w:t xml:space="preserve">-22,2</w:t>
            </w:r>
          </w:p>
        </w:tc>
        <w:tc>
          <w:tcPr>
            <w:tcW w:w="20" w:type="dxa"/>
            <w:vAlign w:val="bottom"/>
            <w:vMerge w:val="restart"/>
            <w:shd w:val="clear" w:color="auto" w:fill="808080"/>
          </w:tcPr>
          <w:p>
            <w:pPr>
              <w:spacing w:after="0"/>
              <w:rPr>
                <w:sz w:val="14"/>
                <w:szCs w:val="14"/>
                <w:color w:val="auto"/>
              </w:rPr>
            </w:pPr>
          </w:p>
        </w:tc>
        <w:tc>
          <w:tcPr>
            <w:tcW w:w="560" w:type="dxa"/>
            <w:vAlign w:val="bottom"/>
            <w:vMerge w:val="restart"/>
          </w:tcPr>
          <w:p>
            <w:pPr xmlns:w="http://schemas.openxmlformats.org/wordprocessingml/2006/main">
              <w:jc w:val="right"/>
              <w:ind w:right="20"/>
              <w:spacing w:after="0"/>
              <w:rPr>
                <w:sz w:val="20"/>
                <w:szCs w:val="20"/>
                <w:color w:val="auto"/>
              </w:rPr>
            </w:pPr>
            <w:r>
              <w:rPr xmlns:w="http://schemas.openxmlformats.org/wordprocessingml/2006/main">
                <w:rFonts w:ascii="Arial" w:cs="Arial" w:eastAsia="Arial" w:hAnsi="Arial"/>
                <w:sz w:val="16"/>
                <w:szCs w:val="16"/>
                <w:color w:val="auto"/>
              </w:rPr>
              <w:t xml:space="preserve">21,4</w:t>
            </w:r>
          </w:p>
        </w:tc>
        <w:tc>
          <w:tcPr>
            <w:tcW w:w="20" w:type="dxa"/>
            <w:vAlign w:val="bottom"/>
            <w:vMerge w:val="restart"/>
            <w:shd w:val="clear" w:color="auto" w:fill="808080"/>
          </w:tcPr>
          <w:p>
            <w:pPr>
              <w:spacing w:after="0"/>
              <w:rPr>
                <w:sz w:val="14"/>
                <w:szCs w:val="14"/>
                <w:color w:val="auto"/>
              </w:rPr>
            </w:pPr>
          </w:p>
        </w:tc>
        <w:tc>
          <w:tcPr>
            <w:tcW w:w="580" w:type="dxa"/>
            <w:vAlign w:val="bottom"/>
            <w:vMerge w:val="restart"/>
          </w:tcPr>
          <w:p>
            <w:pPr xmlns:w="http://schemas.openxmlformats.org/wordprocessingml/2006/main">
              <w:jc w:val="right"/>
              <w:ind w:right="20"/>
              <w:spacing w:after="0"/>
              <w:rPr>
                <w:sz w:val="20"/>
                <w:szCs w:val="20"/>
                <w:color w:val="auto"/>
              </w:rPr>
            </w:pPr>
            <w:r>
              <w:rPr xmlns:w="http://schemas.openxmlformats.org/wordprocessingml/2006/main">
                <w:rFonts w:ascii="Arial" w:cs="Arial" w:eastAsia="Arial" w:hAnsi="Arial"/>
                <w:sz w:val="16"/>
                <w:szCs w:val="16"/>
                <w:color w:val="auto"/>
              </w:rPr>
              <w:t xml:space="preserve">29,0</w:t>
            </w:r>
          </w:p>
        </w:tc>
        <w:tc>
          <w:tcPr>
            <w:tcW w:w="0" w:type="dxa"/>
            <w:vAlign w:val="bottom"/>
          </w:tcPr>
          <w:p>
            <w:pPr>
              <w:spacing w:after="0"/>
              <w:rPr>
                <w:sz w:val="1"/>
                <w:szCs w:val="1"/>
                <w:color w:val="auto"/>
              </w:rPr>
            </w:pPr>
          </w:p>
        </w:tc>
      </w:tr>
      <w:tr>
        <w:trPr>
          <w:trHeight w:val="68"/>
        </w:trPr>
        <w:tc>
          <w:tcPr>
            <w:tcW w:w="3600" w:type="dxa"/>
            <w:vAlign w:val="bottom"/>
          </w:tcPr>
          <w:p>
            <w:pPr>
              <w:spacing w:after="0"/>
              <w:rPr>
                <w:sz w:val="5"/>
                <w:szCs w:val="5"/>
                <w:color w:val="auto"/>
              </w:rPr>
            </w:pPr>
          </w:p>
        </w:tc>
        <w:tc>
          <w:tcPr>
            <w:tcW w:w="140" w:type="dxa"/>
            <w:vAlign w:val="bottom"/>
          </w:tcPr>
          <w:p>
            <w:pPr>
              <w:spacing w:after="0"/>
              <w:rPr>
                <w:sz w:val="5"/>
                <w:szCs w:val="5"/>
                <w:color w:val="auto"/>
              </w:rPr>
            </w:pPr>
          </w:p>
        </w:tc>
        <w:tc>
          <w:tcPr>
            <w:tcW w:w="1120" w:type="dxa"/>
            <w:vAlign w:val="bottom"/>
            <w:tcBorders>
              <w:right w:val="single" w:sz="8" w:color="808080"/>
            </w:tcBorders>
            <w:vMerge w:val="continue"/>
          </w:tcPr>
          <w:p>
            <w:pPr>
              <w:spacing w:after="0"/>
              <w:rPr>
                <w:sz w:val="5"/>
                <w:szCs w:val="5"/>
                <w:color w:val="auto"/>
              </w:rPr>
            </w:pPr>
          </w:p>
        </w:tc>
        <w:tc>
          <w:tcPr>
            <w:tcW w:w="580" w:type="dxa"/>
            <w:vAlign w:val="bottom"/>
            <w:tcBorders>
              <w:right w:val="single" w:sz="8" w:color="808080"/>
            </w:tcBorders>
            <w:vMerge w:val="continue"/>
          </w:tcPr>
          <w:p>
            <w:pPr>
              <w:spacing w:after="0"/>
              <w:rPr>
                <w:sz w:val="5"/>
                <w:szCs w:val="5"/>
                <w:color w:val="auto"/>
              </w:rPr>
            </w:pPr>
          </w:p>
        </w:tc>
        <w:tc>
          <w:tcPr>
            <w:tcW w:w="560" w:type="dxa"/>
            <w:vAlign w:val="bottom"/>
            <w:vMerge w:val="continue"/>
          </w:tcPr>
          <w:p>
            <w:pPr>
              <w:spacing w:after="0"/>
              <w:rPr>
                <w:sz w:val="5"/>
                <w:szCs w:val="5"/>
                <w:color w:val="auto"/>
              </w:rPr>
            </w:pPr>
          </w:p>
        </w:tc>
        <w:tc>
          <w:tcPr>
            <w:tcW w:w="20" w:type="dxa"/>
            <w:vAlign w:val="bottom"/>
            <w:vMerge w:val="continue"/>
            <w:shd w:val="clear" w:color="auto" w:fill="808080"/>
          </w:tcPr>
          <w:p>
            <w:pPr>
              <w:spacing w:after="0"/>
              <w:rPr>
                <w:sz w:val="5"/>
                <w:szCs w:val="5"/>
                <w:color w:val="auto"/>
              </w:rPr>
            </w:pPr>
          </w:p>
        </w:tc>
        <w:tc>
          <w:tcPr>
            <w:tcW w:w="560" w:type="dxa"/>
            <w:vAlign w:val="bottom"/>
            <w:vMerge w:val="continue"/>
          </w:tcPr>
          <w:p>
            <w:pPr>
              <w:spacing w:after="0"/>
              <w:rPr>
                <w:sz w:val="5"/>
                <w:szCs w:val="5"/>
                <w:color w:val="auto"/>
              </w:rPr>
            </w:pPr>
          </w:p>
        </w:tc>
        <w:tc>
          <w:tcPr>
            <w:tcW w:w="20" w:type="dxa"/>
            <w:vAlign w:val="bottom"/>
            <w:vMerge w:val="continue"/>
            <w:shd w:val="clear" w:color="auto" w:fill="808080"/>
          </w:tcPr>
          <w:p>
            <w:pPr>
              <w:spacing w:after="0"/>
              <w:rPr>
                <w:sz w:val="5"/>
                <w:szCs w:val="5"/>
                <w:color w:val="auto"/>
              </w:rPr>
            </w:pPr>
          </w:p>
        </w:tc>
        <w:tc>
          <w:tcPr>
            <w:tcW w:w="560" w:type="dxa"/>
            <w:vAlign w:val="bottom"/>
            <w:vMerge w:val="continue"/>
          </w:tcPr>
          <w:p>
            <w:pPr>
              <w:spacing w:after="0"/>
              <w:rPr>
                <w:sz w:val="5"/>
                <w:szCs w:val="5"/>
                <w:color w:val="auto"/>
              </w:rPr>
            </w:pPr>
          </w:p>
        </w:tc>
        <w:tc>
          <w:tcPr>
            <w:tcW w:w="20" w:type="dxa"/>
            <w:vAlign w:val="bottom"/>
            <w:vMerge w:val="continue"/>
            <w:shd w:val="clear" w:color="auto" w:fill="808080"/>
          </w:tcPr>
          <w:p>
            <w:pPr>
              <w:spacing w:after="0"/>
              <w:rPr>
                <w:sz w:val="5"/>
                <w:szCs w:val="5"/>
                <w:color w:val="auto"/>
              </w:rPr>
            </w:pPr>
          </w:p>
        </w:tc>
        <w:tc>
          <w:tcPr>
            <w:tcW w:w="560" w:type="dxa"/>
            <w:vAlign w:val="bottom"/>
            <w:vMerge w:val="continue"/>
          </w:tcPr>
          <w:p>
            <w:pPr>
              <w:spacing w:after="0"/>
              <w:rPr>
                <w:sz w:val="5"/>
                <w:szCs w:val="5"/>
                <w:color w:val="auto"/>
              </w:rPr>
            </w:pPr>
          </w:p>
        </w:tc>
        <w:tc>
          <w:tcPr>
            <w:tcW w:w="20" w:type="dxa"/>
            <w:vAlign w:val="bottom"/>
            <w:vMerge w:val="continue"/>
            <w:shd w:val="clear" w:color="auto" w:fill="808080"/>
          </w:tcPr>
          <w:p>
            <w:pPr>
              <w:spacing w:after="0"/>
              <w:rPr>
                <w:sz w:val="5"/>
                <w:szCs w:val="5"/>
                <w:color w:val="auto"/>
              </w:rPr>
            </w:pPr>
          </w:p>
        </w:tc>
        <w:tc>
          <w:tcPr>
            <w:tcW w:w="560" w:type="dxa"/>
            <w:vAlign w:val="bottom"/>
            <w:vMerge w:val="continue"/>
          </w:tcPr>
          <w:p>
            <w:pPr>
              <w:spacing w:after="0"/>
              <w:rPr>
                <w:sz w:val="5"/>
                <w:szCs w:val="5"/>
                <w:color w:val="auto"/>
              </w:rPr>
            </w:pPr>
          </w:p>
        </w:tc>
        <w:tc>
          <w:tcPr>
            <w:tcW w:w="20" w:type="dxa"/>
            <w:vAlign w:val="bottom"/>
            <w:vMerge w:val="continue"/>
            <w:shd w:val="clear" w:color="auto" w:fill="808080"/>
          </w:tcPr>
          <w:p>
            <w:pPr>
              <w:spacing w:after="0"/>
              <w:rPr>
                <w:sz w:val="5"/>
                <w:szCs w:val="5"/>
                <w:color w:val="auto"/>
              </w:rPr>
            </w:pPr>
          </w:p>
        </w:tc>
        <w:tc>
          <w:tcPr>
            <w:tcW w:w="560" w:type="dxa"/>
            <w:vAlign w:val="bottom"/>
            <w:vMerge w:val="continue"/>
          </w:tcPr>
          <w:p>
            <w:pPr>
              <w:spacing w:after="0"/>
              <w:rPr>
                <w:sz w:val="5"/>
                <w:szCs w:val="5"/>
                <w:color w:val="auto"/>
              </w:rPr>
            </w:pPr>
          </w:p>
        </w:tc>
        <w:tc>
          <w:tcPr>
            <w:tcW w:w="20" w:type="dxa"/>
            <w:vAlign w:val="bottom"/>
            <w:vMerge w:val="continue"/>
            <w:shd w:val="clear" w:color="auto" w:fill="808080"/>
          </w:tcPr>
          <w:p>
            <w:pPr>
              <w:spacing w:after="0"/>
              <w:rPr>
                <w:sz w:val="5"/>
                <w:szCs w:val="5"/>
                <w:color w:val="auto"/>
              </w:rPr>
            </w:pPr>
          </w:p>
        </w:tc>
        <w:tc>
          <w:tcPr>
            <w:tcW w:w="560" w:type="dxa"/>
            <w:vAlign w:val="bottom"/>
            <w:vMerge w:val="continue"/>
          </w:tcPr>
          <w:p>
            <w:pPr>
              <w:spacing w:after="0"/>
              <w:rPr>
                <w:sz w:val="5"/>
                <w:szCs w:val="5"/>
                <w:color w:val="auto"/>
              </w:rPr>
            </w:pPr>
          </w:p>
        </w:tc>
        <w:tc>
          <w:tcPr>
            <w:tcW w:w="20" w:type="dxa"/>
            <w:vAlign w:val="bottom"/>
            <w:vMerge w:val="continue"/>
            <w:shd w:val="clear" w:color="auto" w:fill="808080"/>
          </w:tcPr>
          <w:p>
            <w:pPr>
              <w:spacing w:after="0"/>
              <w:rPr>
                <w:sz w:val="5"/>
                <w:szCs w:val="5"/>
                <w:color w:val="auto"/>
              </w:rPr>
            </w:pPr>
          </w:p>
        </w:tc>
        <w:tc>
          <w:tcPr>
            <w:tcW w:w="560" w:type="dxa"/>
            <w:vAlign w:val="bottom"/>
            <w:vMerge w:val="continue"/>
          </w:tcPr>
          <w:p>
            <w:pPr>
              <w:spacing w:after="0"/>
              <w:rPr>
                <w:sz w:val="5"/>
                <w:szCs w:val="5"/>
                <w:color w:val="auto"/>
              </w:rPr>
            </w:pPr>
          </w:p>
        </w:tc>
        <w:tc>
          <w:tcPr>
            <w:tcW w:w="20" w:type="dxa"/>
            <w:vAlign w:val="bottom"/>
            <w:vMerge w:val="continue"/>
            <w:shd w:val="clear" w:color="auto" w:fill="808080"/>
          </w:tcPr>
          <w:p>
            <w:pPr>
              <w:spacing w:after="0"/>
              <w:rPr>
                <w:sz w:val="5"/>
                <w:szCs w:val="5"/>
                <w:color w:val="auto"/>
              </w:rPr>
            </w:pPr>
          </w:p>
        </w:tc>
        <w:tc>
          <w:tcPr>
            <w:tcW w:w="580" w:type="dxa"/>
            <w:vAlign w:val="bottom"/>
            <w:vMerge w:val="continue"/>
          </w:tcPr>
          <w:p>
            <w:pPr>
              <w:spacing w:after="0"/>
              <w:rPr>
                <w:sz w:val="5"/>
                <w:szCs w:val="5"/>
                <w:color w:val="auto"/>
              </w:rPr>
            </w:pP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2773680</wp:posOffset>
            </wp:positionH>
            <wp:positionV relativeFrom="paragraph">
              <wp:posOffset>-2060575</wp:posOffset>
            </wp:positionV>
            <wp:extent cx="3977640" cy="1554480"/>
            <wp:wrapNone/>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9">
                      <a:extLst>
                        <a:ext uri="{28A0092B-C50C-407E-A947-70E740481C1C}"/>
                      </a:extLst>
                    </a:blip>
                    <a:srcRect/>
                    <a:stretch>
                      <a:fillRect/>
                    </a:stretch>
                  </pic:blipFill>
                  <pic:spPr bwMode="auto">
                    <a:xfrm>
                      <a:off x="0" y="0"/>
                      <a:ext cx="3977640" cy="1554480"/>
                    </a:xfrm>
                    <a:prstGeom prst="rect">
                      <a:avLst/>
                    </a:prstGeom>
                    <a:noFill/>
                  </pic:spPr>
                </pic:pic>
              </a:graphicData>
            </a:graphic>
          </wp:anchor>
        </w:drawing>
      </w:r>
    </w:p>
    <w:p>
      <w:pPr>
        <w:spacing w:after="0" w:line="22" w:lineRule="exact"/>
        <w:rPr>
          <w:sz w:val="20"/>
          <w:szCs w:val="20"/>
          <w:color w:val="auto"/>
        </w:rPr>
      </w:pPr>
    </w:p>
    <w:p>
      <w:pPr xmlns:w="http://schemas.openxmlformats.org/wordprocessingml/2006/main">
        <w:ind w:left="40"/>
        <w:spacing w:after="0"/>
        <w:rPr>
          <w:sz w:val="20"/>
          <w:szCs w:val="20"/>
          <w:color w:val="auto"/>
        </w:rPr>
      </w:pPr>
      <w:r>
        <w:rPr xmlns:w="http://schemas.openxmlformats.org/wordprocessingml/2006/main">
          <w:rFonts w:ascii="Arial" w:cs="Arial" w:eastAsia="Arial" w:hAnsi="Arial"/>
          <w:sz w:val="26"/>
          <w:szCs w:val="26"/>
          <w:color w:val="auto"/>
        </w:rPr>
        <w:t xml:space="preserve">Πρακτικές πληροφορίες</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2540</wp:posOffset>
            </wp:positionH>
            <wp:positionV relativeFrom="paragraph">
              <wp:posOffset>22860</wp:posOffset>
            </wp:positionV>
            <wp:extent cx="6767830" cy="9525"/>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40">
                      <a:extLst>
                        <a:ext uri="{28A0092B-C50C-407E-A947-70E740481C1C}"/>
                      </a:extLst>
                    </a:blip>
                    <a:srcRect/>
                    <a:stretch>
                      <a:fillRect/>
                    </a:stretch>
                  </pic:blipFill>
                  <pic:spPr bwMode="auto">
                    <a:xfrm>
                      <a:off x="0" y="0"/>
                      <a:ext cx="6767830" cy="9525"/>
                    </a:xfrm>
                    <a:prstGeom prst="rect">
                      <a:avLst/>
                    </a:prstGeom>
                    <a:noFill/>
                  </pic:spPr>
                </pic:pic>
              </a:graphicData>
            </a:graphic>
          </wp:anchor>
        </w:drawing>
      </w:r>
    </w:p>
    <w:p>
      <w:pPr>
        <w:spacing w:after="0" w:line="46" w:lineRule="exact"/>
        <w:rPr>
          <w:sz w:val="20"/>
          <w:szCs w:val="20"/>
          <w:color w:val="auto"/>
        </w:rPr>
      </w:pPr>
    </w:p>
    <w:p>
      <w:pPr xmlns:w="http://schemas.openxmlformats.org/wordprocessingml/2006/main">
        <w:ind w:left="160"/>
        <w:spacing w:after="0"/>
        <w:rPr>
          <w:sz w:val="20"/>
          <w:szCs w:val="20"/>
          <w:color w:val="auto"/>
        </w:rPr>
      </w:pPr>
      <w:r>
        <w:rPr xmlns:w="http://schemas.openxmlformats.org/wordprocessingml/2006/main">
          <w:rFonts w:ascii="Arial" w:cs="Arial" w:eastAsia="Arial" w:hAnsi="Arial"/>
          <w:sz w:val="16"/>
          <w:szCs w:val="16"/>
          <w:color w:val="auto"/>
        </w:rPr>
        <w:t xml:space="preserve">Η τράπεζα καταθέσεων του Ταμείου είναι η State Street Bank International GmbH.</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2540</wp:posOffset>
            </wp:positionH>
            <wp:positionV relativeFrom="paragraph">
              <wp:posOffset>-66040</wp:posOffset>
            </wp:positionV>
            <wp:extent cx="45720" cy="77470"/>
            <wp:wrapNone/>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41">
                      <a:extLst>
                        <a:ext uri="{28A0092B-C50C-407E-A947-70E740481C1C}"/>
                      </a:extLst>
                    </a:blip>
                    <a:srcRect/>
                    <a:stretch>
                      <a:fillRect/>
                    </a:stretch>
                  </pic:blipFill>
                  <pic:spPr bwMode="auto">
                    <a:xfrm>
                      <a:off x="0" y="0"/>
                      <a:ext cx="45720" cy="77470"/>
                    </a:xfrm>
                    <a:prstGeom prst="rect">
                      <a:avLst/>
                    </a:prstGeom>
                    <a:noFill/>
                  </pic:spPr>
                </pic:pic>
              </a:graphicData>
            </a:graphic>
          </wp:anchor>
        </w:drawing>
      </w:r>
    </w:p>
    <w:p>
      <w:pPr>
        <w:spacing w:after="0" w:line="28" w:lineRule="exact"/>
        <w:rPr>
          <w:sz w:val="20"/>
          <w:szCs w:val="20"/>
          <w:color w:val="auto"/>
        </w:rPr>
      </w:pPr>
    </w:p>
    <w:p>
      <w:pPr xmlns:w="http://schemas.openxmlformats.org/wordprocessingml/2006/main">
        <w:jc w:val="both"/>
        <w:ind w:left="160" w:right="220"/>
        <w:spacing w:after="0" w:line="302" w:lineRule="auto"/>
        <w:rPr>
          <w:sz w:val="20"/>
          <w:szCs w:val="20"/>
          <w:color w:val="auto"/>
        </w:rPr>
      </w:pPr>
      <w:r>
        <w:rPr xmlns:w="http://schemas.openxmlformats.org/wordprocessingml/2006/main">
          <w:rFonts w:ascii="Arial" w:cs="Arial" w:eastAsia="Arial" w:hAnsi="Arial"/>
          <w:sz w:val="16"/>
          <w:szCs w:val="16"/>
          <w:color w:val="auto"/>
        </w:rPr>
        <w:t xml:space="preserve">Περισσότερες πληροφορίες σχετικά με το Ταμείο παρέχονται από τις τελευταίες ετήσιες και εξαμηνιαίες εκθέσεις.</w:t>
      </w:r>
      <w:r>
        <w:rPr xmlns:w="http://schemas.openxmlformats.org/wordprocessingml/2006/main">
          <w:rFonts w:ascii="Arial" w:cs="Arial" w:eastAsia="Arial" w:hAnsi="Arial"/>
          <w:sz w:val="16"/>
          <w:szCs w:val="16"/>
          <w:color w:val="auto"/>
        </w:rPr>
        <w:t xml:space="preserve"> Τα έγγραφα αυτά διατίθενται δωρεάν στα γερμανικά, αγγλικά και σε ορισμένες άλλες γλώσσες.</w:t>
      </w:r>
      <w:r>
        <w:rPr xmlns:w="http://schemas.openxmlformats.org/wordprocessingml/2006/main">
          <w:rFonts w:ascii="Arial" w:cs="Arial" w:eastAsia="Arial" w:hAnsi="Arial"/>
          <w:sz w:val="16"/>
          <w:szCs w:val="16"/>
          <w:color w:val="auto"/>
        </w:rPr>
        <w:t xml:space="preserve"> Μπορούν να βρεθούν μαζί με άλλες πληροφορίες, όπως τιμές μονάδας, στέλνοντας email στη διεύθυνση info@iShares.de ή από τη διεύθυνση www.ishares.com (επιλέξτε τη χώρα σας και μεταβείτε στα Έγγραφα) ή καλώντας στο +49 (0) 89 42729 5858.</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2540</wp:posOffset>
            </wp:positionH>
            <wp:positionV relativeFrom="paragraph">
              <wp:posOffset>-390525</wp:posOffset>
            </wp:positionV>
            <wp:extent cx="45720" cy="77470"/>
            <wp:wrapNone/>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42">
                      <a:extLst>
                        <a:ext uri="{28A0092B-C50C-407E-A947-70E740481C1C}"/>
                      </a:extLst>
                    </a:blip>
                    <a:srcRect/>
                    <a:stretch>
                      <a:fillRect/>
                    </a:stretch>
                  </pic:blipFill>
                  <pic:spPr bwMode="auto">
                    <a:xfrm>
                      <a:off x="0" y="0"/>
                      <a:ext cx="45720" cy="77470"/>
                    </a:xfrm>
                    <a:prstGeom prst="rect">
                      <a:avLst/>
                    </a:prstGeom>
                    <a:noFill/>
                  </pic:spPr>
                </pic:pic>
              </a:graphicData>
            </a:graphic>
          </wp:anchor>
        </w:drawing>
      </w:r>
    </w:p>
    <w:p>
      <w:pPr xmlns:w="http://schemas.openxmlformats.org/wordprocessingml/2006/main">
        <w:ind w:left="160" w:right="620"/>
        <w:spacing w:after="0" w:line="322" w:lineRule="auto"/>
        <w:rPr>
          <w:sz w:val="20"/>
          <w:szCs w:val="20"/>
          <w:color w:val="auto"/>
        </w:rPr>
      </w:pPr>
      <w:r>
        <w:rPr xmlns:w="http://schemas.openxmlformats.org/wordprocessingml/2006/main">
          <w:rFonts w:ascii="Arial" w:cs="Arial" w:eastAsia="Arial" w:hAnsi="Arial"/>
          <w:sz w:val="15"/>
          <w:szCs w:val="15"/>
          <w:color w:val="auto"/>
        </w:rPr>
        <w:t xml:space="preserve">Το Ταμείο υπόκειται στον γερμανικό νόμο περί φόρου επί των επενδύσεων (Investmentsteuergesetz).</w:t>
      </w:r>
      <w:r>
        <w:rPr xmlns:w="http://schemas.openxmlformats.org/wordprocessingml/2006/main">
          <w:rFonts w:ascii="Arial" w:cs="Arial" w:eastAsia="Arial" w:hAnsi="Arial"/>
          <w:sz w:val="15"/>
          <w:szCs w:val="15"/>
          <w:color w:val="auto"/>
        </w:rPr>
        <w:t xml:space="preserve"> </w:t>
      </w:r>
      <w:r>
        <w:rPr xmlns:w="http://schemas.openxmlformats.org/wordprocessingml/2006/main">
          <w:rFonts w:ascii="Arial" w:cs="Arial" w:eastAsia="Arial" w:hAnsi="Arial"/>
          <w:sz w:val="15"/>
          <w:szCs w:val="15"/>
          <w:color w:val="auto"/>
        </w:rPr>
        <w:t xml:space="preserve">Αυτό μπορεί να έχει επιπτώσεις στον φόρο εισοδήματος της επένδυσής σας στο Ταμείο.</w:t>
      </w:r>
      <w:r>
        <w:rPr xmlns:w="http://schemas.openxmlformats.org/wordprocessingml/2006/main">
          <w:rFonts w:ascii="Arial" w:cs="Arial" w:eastAsia="Arial" w:hAnsi="Arial"/>
          <w:sz w:val="15"/>
          <w:szCs w:val="15"/>
          <w:color w:val="auto"/>
        </w:rPr>
        <w:t xml:space="preserve"> Αυτό το έγγραφο βασικών πληροφοριών για τους επενδυτές αφορά το Ταμείο ως ένα από τα επιμέρους κεφάλαια των iShares (DE) I Investmentaktiengesellschaft mit Teilgesellschaftsvermögen (η ομπρέλα).</w:t>
      </w:r>
      <w:r>
        <w:rPr xmlns:w="http://schemas.openxmlformats.org/wordprocessingml/2006/main">
          <w:rFonts w:ascii="Arial" w:cs="Arial" w:eastAsia="Arial" w:hAnsi="Arial"/>
          <w:sz w:val="15"/>
          <w:szCs w:val="15"/>
          <w:color w:val="auto"/>
        </w:rPr>
        <w:t xml:space="preserve"> </w:t>
      </w:r>
      <w:r>
        <w:rPr xmlns:w="http://schemas.openxmlformats.org/wordprocessingml/2006/main">
          <w:rFonts w:ascii="Arial" w:cs="Arial" w:eastAsia="Arial" w:hAnsi="Arial"/>
          <w:sz w:val="15"/>
          <w:szCs w:val="15"/>
          <w:color w:val="auto"/>
        </w:rPr>
        <w:t xml:space="preserve">Ωστόσο, το ενημερωτικό δελτίο, οι ετήσιες και οι εξαμηνιαίες εκθέσεις συντάσσονται για ολόκληρη την Ομπρέλα.</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2540</wp:posOffset>
            </wp:positionH>
            <wp:positionV relativeFrom="paragraph">
              <wp:posOffset>-389890</wp:posOffset>
            </wp:positionV>
            <wp:extent cx="45720" cy="77470"/>
            <wp:wrapNone/>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43">
                      <a:extLst>
                        <a:ext uri="{28A0092B-C50C-407E-A947-70E740481C1C}"/>
                      </a:extLst>
                    </a:blip>
                    <a:srcRect/>
                    <a:stretch>
                      <a:fillRect/>
                    </a:stretch>
                  </pic:blipFill>
                  <pic:spPr bwMode="auto">
                    <a:xfrm>
                      <a:off x="0" y="0"/>
                      <a:ext cx="45720" cy="77470"/>
                    </a:xfrm>
                    <a:prstGeom prst="rect">
                      <a:avLst/>
                    </a:prstGeom>
                    <a:noFill/>
                  </pic:spPr>
                </pic:pic>
              </a:graphicData>
            </a:graphic>
          </wp:anchor>
        </w:drawing>
        <w:drawing>
          <wp:anchor simplePos="0" relativeHeight="251657728" behindDoc="1" locked="0" layoutInCell="0" allowOverlap="1">
            <wp:simplePos x="0" y="0"/>
            <wp:positionH relativeFrom="column">
              <wp:posOffset>2540</wp:posOffset>
            </wp:positionH>
            <wp:positionV relativeFrom="paragraph">
              <wp:posOffset>-242570</wp:posOffset>
            </wp:positionV>
            <wp:extent cx="45720" cy="77470"/>
            <wp:wrapNone/>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44">
                      <a:extLst>
                        <a:ext uri="{28A0092B-C50C-407E-A947-70E740481C1C}"/>
                      </a:extLst>
                    </a:blip>
                    <a:srcRect/>
                    <a:stretch>
                      <a:fillRect/>
                    </a:stretch>
                  </pic:blipFill>
                  <pic:spPr bwMode="auto">
                    <a:xfrm>
                      <a:off x="0" y="0"/>
                      <a:ext cx="45720" cy="77470"/>
                    </a:xfrm>
                    <a:prstGeom prst="rect">
                      <a:avLst/>
                    </a:prstGeom>
                    <a:noFill/>
                  </pic:spPr>
                </pic:pic>
              </a:graphicData>
            </a:graphic>
          </wp:anchor>
        </w:drawing>
      </w:r>
    </w:p>
    <w:p>
      <w:pPr xmlns:w="http://schemas.openxmlformats.org/wordprocessingml/2006/main">
        <w:ind w:left="160" w:right="280"/>
        <w:spacing w:after="0" w:line="302" w:lineRule="auto"/>
        <w:rPr>
          <w:sz w:val="20"/>
          <w:szCs w:val="20"/>
          <w:color w:val="auto"/>
        </w:rPr>
      </w:pPr>
      <w:r>
        <w:rPr xmlns:w="http://schemas.openxmlformats.org/wordprocessingml/2006/main">
          <w:rFonts w:ascii="Arial" w:cs="Arial" w:eastAsia="Arial" w:hAnsi="Arial"/>
          <w:sz w:val="16"/>
          <w:szCs w:val="16"/>
          <w:color w:val="auto"/>
        </w:rPr>
        <w:t xml:space="preserve">Η BlackRock Asset Management Deutschland AG μπορεί να θεωρηθεί υπεύθυνη μόνο βάσει οποιασδήποτε δήλωσης που περιέχεται στο παρόν έγγραφο η οποία είναι παραπλανητική, ανακριβής ή ασυνεπής με τα σχετικά μέρη του ενημερωτικού δελτίου του Ταμείου.</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2540</wp:posOffset>
            </wp:positionH>
            <wp:positionV relativeFrom="paragraph">
              <wp:posOffset>-243205</wp:posOffset>
            </wp:positionV>
            <wp:extent cx="45720" cy="77470"/>
            <wp:wrapNone/>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45">
                      <a:extLst>
                        <a:ext uri="{28A0092B-C50C-407E-A947-70E740481C1C}"/>
                      </a:extLst>
                    </a:blip>
                    <a:srcRect/>
                    <a:stretch>
                      <a:fillRect/>
                    </a:stretch>
                  </pic:blipFill>
                  <pic:spPr bwMode="auto">
                    <a:xfrm>
                      <a:off x="0" y="0"/>
                      <a:ext cx="45720" cy="77470"/>
                    </a:xfrm>
                    <a:prstGeom prst="rect">
                      <a:avLst/>
                    </a:prstGeom>
                    <a:noFill/>
                  </pic:spPr>
                </pic:pic>
              </a:graphicData>
            </a:graphic>
          </wp:anchor>
        </w:drawing>
      </w:r>
    </w:p>
    <w:p>
      <w:pPr xmlns:w="http://schemas.openxmlformats.org/wordprocessingml/2006/main">
        <w:ind w:left="160"/>
        <w:spacing w:after="0"/>
        <w:rPr>
          <w:sz w:val="20"/>
          <w:szCs w:val="20"/>
          <w:color w:val="auto"/>
        </w:rPr>
      </w:pPr>
      <w:r>
        <w:rPr xmlns:w="http://schemas.openxmlformats.org/wordprocessingml/2006/main">
          <w:rFonts w:ascii="Arial" w:cs="Arial" w:eastAsia="Arial" w:hAnsi="Arial"/>
          <w:sz w:val="16"/>
          <w:szCs w:val="16"/>
          <w:color w:val="auto"/>
        </w:rPr>
        <w:t xml:space="preserve">Η ενδεικτική ενδοημερήσια καθαρή αξία του ενεργητικού του Ταμείου είναι διαθέσιμη στη διεύθυνση http://deutsche-boerse.com ή/και http://www.reuters.com.</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2540</wp:posOffset>
            </wp:positionH>
            <wp:positionV relativeFrom="paragraph">
              <wp:posOffset>-66040</wp:posOffset>
            </wp:positionV>
            <wp:extent cx="45720" cy="77470"/>
            <wp:wrapNone/>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46">
                      <a:extLst>
                        <a:ext uri="{28A0092B-C50C-407E-A947-70E740481C1C}"/>
                      </a:extLst>
                    </a:blip>
                    <a:srcRect/>
                    <a:stretch>
                      <a:fillRect/>
                    </a:stretch>
                  </pic:blipFill>
                  <pic:spPr bwMode="auto">
                    <a:xfrm>
                      <a:off x="0" y="0"/>
                      <a:ext cx="45720" cy="77470"/>
                    </a:xfrm>
                    <a:prstGeom prst="rect">
                      <a:avLst/>
                    </a:prstGeom>
                    <a:noFill/>
                  </pic:spPr>
                </pic:pic>
              </a:graphicData>
            </a:graphic>
          </wp:anchor>
        </w:drawing>
      </w:r>
    </w:p>
    <w:p>
      <w:pPr>
        <w:spacing w:after="0" w:line="28" w:lineRule="exact"/>
        <w:rPr>
          <w:sz w:val="20"/>
          <w:szCs w:val="20"/>
          <w:color w:val="auto"/>
        </w:rPr>
      </w:pPr>
    </w:p>
    <w:p>
      <w:pPr xmlns:w="http://schemas.openxmlformats.org/wordprocessingml/2006/main">
        <w:ind w:left="160" w:right="160"/>
        <w:spacing w:after="0" w:line="302" w:lineRule="auto"/>
        <w:rPr>
          <w:sz w:val="20"/>
          <w:szCs w:val="20"/>
          <w:color w:val="auto"/>
        </w:rPr>
      </w:pPr>
      <w:r>
        <w:rPr xmlns:w="http://schemas.openxmlformats.org/wordprocessingml/2006/main">
          <w:rFonts w:ascii="Arial" w:cs="Arial" w:eastAsia="Arial" w:hAnsi="Arial"/>
          <w:sz w:val="16"/>
          <w:szCs w:val="16"/>
          <w:color w:val="auto"/>
        </w:rPr>
        <w:t xml:space="preserve">Η εταιρεία θα δημοσιεύει ανάλυση των βασικών υποκείμενων επενδύσεων του Ταμείου για κάθε ημέρα διαπραγμάτευσης μέσω του επίσημου δικτυακού τόπου iShares (www.ishares.com), με την επιφύλαξη τυχόν περιορισμών στη δημοσίευση των στοιχείων που επιβάλλονται από τους σχετικούς παρόχους δείκτη.</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2540</wp:posOffset>
            </wp:positionH>
            <wp:positionV relativeFrom="paragraph">
              <wp:posOffset>-243205</wp:posOffset>
            </wp:positionV>
            <wp:extent cx="45720" cy="77470"/>
            <wp:wrapNone/>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47">
                      <a:extLst>
                        <a:ext uri="{28A0092B-C50C-407E-A947-70E740481C1C}"/>
                      </a:extLst>
                    </a:blip>
                    <a:srcRect/>
                    <a:stretch>
                      <a:fillRect/>
                    </a:stretch>
                  </pic:blipFill>
                  <pic:spPr bwMode="auto">
                    <a:xfrm>
                      <a:off x="0" y="0"/>
                      <a:ext cx="45720" cy="77470"/>
                    </a:xfrm>
                    <a:prstGeom prst="rect">
                      <a:avLst/>
                    </a:prstGeom>
                    <a:noFill/>
                  </pic:spPr>
                </pic:pic>
              </a:graphicData>
            </a:graphic>
          </wp:anchor>
        </w:drawing>
      </w:r>
    </w:p>
    <w:p>
      <w:pPr xmlns:w="http://schemas.openxmlformats.org/wordprocessingml/2006/main">
        <w:ind w:left="160" w:right="140"/>
        <w:spacing w:after="0" w:line="302" w:lineRule="auto"/>
        <w:rPr>
          <w:sz w:val="20"/>
          <w:szCs w:val="20"/>
          <w:color w:val="auto"/>
        </w:rPr>
      </w:pPr>
      <w:r>
        <w:rPr xmlns:w="http://schemas.openxmlformats.org/wordprocessingml/2006/main">
          <w:rFonts w:ascii="Arial" w:cs="Arial" w:eastAsia="Arial" w:hAnsi="Arial"/>
          <w:sz w:val="16"/>
          <w:szCs w:val="16"/>
          <w:color w:val="auto"/>
        </w:rPr>
        <w:t xml:space="preserve">Τα στοιχεία ενεργητικού και παθητικού του Ταμείου, καθώς και η νομική του ευθύνη διαχωρίζονται από τα άλλα επιμέρους κεφάλαια της Umbrella.</w:t>
      </w:r>
      <w:r>
        <w:rPr xmlns:w="http://schemas.openxmlformats.org/wordprocessingml/2006/main">
          <w:rFonts w:ascii="Arial" w:cs="Arial" w:eastAsia="Arial" w:hAnsi="Arial"/>
          <w:sz w:val="16"/>
          <w:szCs w:val="16"/>
          <w:color w:val="auto"/>
        </w:rPr>
        <w:t xml:space="preserve"> Οι επενδυτές δεν μπορούν να αλλάξουν επένδυση σε άλλο υπο-κεφάλαιο.</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2540</wp:posOffset>
            </wp:positionH>
            <wp:positionV relativeFrom="paragraph">
              <wp:posOffset>-243205</wp:posOffset>
            </wp:positionV>
            <wp:extent cx="45720" cy="77470"/>
            <wp:wrapNone/>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48">
                      <a:extLst>
                        <a:ext uri="{28A0092B-C50C-407E-A947-70E740481C1C}"/>
                      </a:extLst>
                    </a:blip>
                    <a:srcRect/>
                    <a:stretch>
                      <a:fillRect/>
                    </a:stretch>
                  </pic:blipFill>
                  <pic:spPr bwMode="auto">
                    <a:xfrm>
                      <a:off x="0" y="0"/>
                      <a:ext cx="45720" cy="77470"/>
                    </a:xfrm>
                    <a:prstGeom prst="rect">
                      <a:avLst/>
                    </a:prstGeom>
                    <a:noFill/>
                  </pic:spPr>
                </pic:pic>
              </a:graphicData>
            </a:graphic>
          </wp:anchor>
        </w:drawing>
      </w:r>
    </w:p>
    <w:p>
      <w:pPr xmlns:w="http://schemas.openxmlformats.org/wordprocessingml/2006/main">
        <w:ind w:left="160" w:right="100"/>
        <w:spacing w:after="0" w:line="366" w:lineRule="auto"/>
        <w:rPr>
          <w:sz w:val="20"/>
          <w:szCs w:val="20"/>
          <w:color w:val="auto"/>
        </w:rPr>
      </w:pPr>
      <w:r>
        <w:rPr xmlns:w="http://schemas.openxmlformats.org/wordprocessingml/2006/main">
          <w:rFonts w:ascii="Arial" w:cs="Arial" w:eastAsia="Arial" w:hAnsi="Arial"/>
          <w:sz w:val="15"/>
          <w:szCs w:val="15"/>
          <w:color w:val="auto"/>
        </w:rPr>
        <w:t xml:space="preserve">Η Πολιτική Αποδοχών της Εταιρείας Διαχείρισης, η οποία περιγράφει τον τρόπο καθορισμού και χορήγησης των αποδοχών και των παροχών, καθώς και οι συναφείς ρυθμίσεις διακυβέρνησης, είναι διαθέσιμη στη διεύθυνση www.blackrock.com/Remunerationpolicy ή κατόπιν αιτήματος από την καταστατική έδρα της Εταιρείας Διαχείρισης.</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5673090</wp:posOffset>
            </wp:positionH>
            <wp:positionV relativeFrom="paragraph">
              <wp:posOffset>2200275</wp:posOffset>
            </wp:positionV>
            <wp:extent cx="1097280" cy="457200"/>
            <wp:wrapNone/>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49">
                      <a:extLst>
                        <a:ext uri="{28A0092B-C50C-407E-A947-70E740481C1C}"/>
                      </a:extLst>
                    </a:blip>
                    <a:srcRect/>
                    <a:stretch>
                      <a:fillRect/>
                    </a:stretch>
                  </pic:blipFill>
                  <pic:spPr bwMode="auto">
                    <a:xfrm>
                      <a:off x="0" y="0"/>
                      <a:ext cx="1097280" cy="457200"/>
                    </a:xfrm>
                    <a:prstGeom prst="rect">
                      <a:avLst/>
                    </a:prstGeom>
                    <a:noFill/>
                  </pic:spPr>
                </pic:pic>
              </a:graphicData>
            </a:graphic>
          </wp:anchor>
        </w:drawing>
        <w:drawing>
          <wp:anchor simplePos="0" relativeHeight="251657728" behindDoc="1" locked="0" layoutInCell="0" allowOverlap="1">
            <wp:simplePos x="0" y="0"/>
            <wp:positionH relativeFrom="column">
              <wp:posOffset>2540</wp:posOffset>
            </wp:positionH>
            <wp:positionV relativeFrom="paragraph">
              <wp:posOffset>-283210</wp:posOffset>
            </wp:positionV>
            <wp:extent cx="45720" cy="77470"/>
            <wp:wrapNone/>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50">
                      <a:extLst>
                        <a:ext uri="{28A0092B-C50C-407E-A947-70E740481C1C}"/>
                      </a:extLst>
                    </a:blip>
                    <a:srcRect/>
                    <a:stretch>
                      <a:fillRect/>
                    </a:stretch>
                  </pic:blipFill>
                  <pic:spPr bwMode="auto">
                    <a:xfrm>
                      <a:off x="0" y="0"/>
                      <a:ext cx="45720" cy="7747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59" w:lineRule="exact"/>
        <w:rPr>
          <w:sz w:val="20"/>
          <w:szCs w:val="20"/>
          <w:color w:val="auto"/>
        </w:rPr>
      </w:pPr>
    </w:p>
    <w:p>
      <w:pPr xmlns:w="http://schemas.openxmlformats.org/wordprocessingml/2006/main">
        <w:ind w:right="2340"/>
        <w:spacing w:after="0" w:line="302" w:lineRule="auto"/>
        <w:rPr>
          <w:sz w:val="20"/>
          <w:szCs w:val="20"/>
          <w:color w:val="auto"/>
        </w:rPr>
      </w:pPr>
      <w:r>
        <w:rPr xmlns:w="http://schemas.openxmlformats.org/wordprocessingml/2006/main">
          <w:rFonts w:ascii="Arial" w:cs="Arial" w:eastAsia="Arial" w:hAnsi="Arial"/>
          <w:sz w:val="14"/>
          <w:szCs w:val="14"/>
          <w:color w:val="auto"/>
        </w:rPr>
        <w:t xml:space="preserve">Αυτό το Ταμείο και η BlackRock Asset Management Deutschland AG έχουν λάβει άδεια λειτουργίας στη Γερμανία και ρυθμίζονται από την Ομοσπονδιακή Υπηρεσία Εποπτείας Χρηματοπιστωτικών Υπηρεσιών (BaFin).</w:t>
      </w:r>
    </w:p>
    <w:p>
      <w:pPr>
        <w:spacing w:after="0" w:line="1"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14"/>
          <w:szCs w:val="14"/>
          <w:color w:val="auto"/>
        </w:rPr>
        <w:t xml:space="preserve">Οι εν λόγω βασικές πληροφορίες για τους επενδυτές είναι ακριβείς στις 30 Φεβρουαρίου 2023</w:t>
      </w:r>
    </w:p>
    <w:sectPr>
      <w:pgSz w:w="11900" w:h="16838" w:orient="portrait"/>
      <w:cols w:equalWidth="0" w:num="1">
        <w:col w:w="10660"/>
      </w:cols>
      <w:pgMar w:left="620" w:top="609" w:right="626" w:bottom="0" w:gutter="0" w:footer="0" w:header="0"/>
      <w:type w:val="continuous"/>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4FD98DEA"/>
    <w:multiLevelType w:val="hybridMultilevel"/>
    <w:lvl w:ilvl="0">
      <w:lvlJc w:val="left"/>
      <w:lvlText w:val="-"/>
      <w:numFmt w:val="bullet"/>
      <w:start w:val="1"/>
    </w:lvl>
  </w:abstractNum>
  <w:abstractNum w:abstractNumId="1">
    <w:nsid w:val="FB75F15"/>
    <w:multiLevelType w:val="hybridMultilevel"/>
    <w:lvl w:ilvl="0">
      <w:lvlJc w:val="left"/>
      <w:lvlText w:val="-"/>
      <w:numFmt w:val="bullet"/>
      <w:start w:val="1"/>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styles" Target="styles.xml"/><Relationship Id="rId3" Type="http://schemas.openxmlformats.org/officeDocument/2006/relationships/fontTable" Target="fontTable.xml"/><Relationship Id="rId4" Type="http://schemas.openxmlformats.org/officeDocument/2006/relationships/webSettings" Target="webSettings.xml"/><Relationship Id="rId11" Type="http://schemas.openxmlformats.org/officeDocument/2006/relationships/numbering" Target="numbering.xml"/><Relationship Id="rId12" Type="http://schemas.openxmlformats.org/officeDocument/2006/relationships/image" Target="media/image1.jpeg"/><Relationship Id="rId13" Type="http://schemas.openxmlformats.org/officeDocument/2006/relationships/image" Target="media/image2.png"/><Relationship Id="rId14" Type="http://schemas.openxmlformats.org/officeDocument/2006/relationships/image" Target="media/image3.png"/><Relationship Id="rId15" Type="http://schemas.openxmlformats.org/officeDocument/2006/relationships/image" Target="media/image4.png"/><Relationship Id="rId16" Type="http://schemas.openxmlformats.org/officeDocument/2006/relationships/image" Target="media/image5.png"/><Relationship Id="rId17" Type="http://schemas.openxmlformats.org/officeDocument/2006/relationships/image" Target="media/image6.png"/><Relationship Id="rId18" Type="http://schemas.openxmlformats.org/officeDocument/2006/relationships/image" Target="media/image7.png"/><Relationship Id="rId19" Type="http://schemas.openxmlformats.org/officeDocument/2006/relationships/image" Target="media/image8.png"/><Relationship Id="rId20" Type="http://schemas.openxmlformats.org/officeDocument/2006/relationships/image" Target="media/image9.png"/><Relationship Id="rId21" Type="http://schemas.openxmlformats.org/officeDocument/2006/relationships/image" Target="media/image10.png"/><Relationship Id="rId22" Type="http://schemas.openxmlformats.org/officeDocument/2006/relationships/image" Target="media/image11.png"/><Relationship Id="rId23" Type="http://schemas.openxmlformats.org/officeDocument/2006/relationships/image" Target="media/image12.jpeg"/><Relationship Id="rId24" Type="http://schemas.openxmlformats.org/officeDocument/2006/relationships/image" Target="media/image13.png"/><Relationship Id="rId25" Type="http://schemas.openxmlformats.org/officeDocument/2006/relationships/image" Target="media/image14.png"/><Relationship Id="rId26" Type="http://schemas.openxmlformats.org/officeDocument/2006/relationships/image" Target="media/image15.png"/><Relationship Id="rId27" Type="http://schemas.openxmlformats.org/officeDocument/2006/relationships/image" Target="media/image16.png"/><Relationship Id="rId28" Type="http://schemas.openxmlformats.org/officeDocument/2006/relationships/image" Target="media/image17.png"/><Relationship Id="rId29" Type="http://schemas.openxmlformats.org/officeDocument/2006/relationships/image" Target="media/image18.png"/><Relationship Id="rId30" Type="http://schemas.openxmlformats.org/officeDocument/2006/relationships/image" Target="media/image19.png"/><Relationship Id="rId31" Type="http://schemas.openxmlformats.org/officeDocument/2006/relationships/image" Target="media/image20.png"/><Relationship Id="rId32" Type="http://schemas.openxmlformats.org/officeDocument/2006/relationships/image" Target="media/image21.png"/><Relationship Id="rId33" Type="http://schemas.openxmlformats.org/officeDocument/2006/relationships/image" Target="media/image22.png"/><Relationship Id="rId34" Type="http://schemas.openxmlformats.org/officeDocument/2006/relationships/image" Target="media/image23.png"/><Relationship Id="rId35" Type="http://schemas.openxmlformats.org/officeDocument/2006/relationships/image" Target="media/image24.png"/><Relationship Id="rId36" Type="http://schemas.openxmlformats.org/officeDocument/2006/relationships/image" Target="media/image25.png"/><Relationship Id="rId37" Type="http://schemas.openxmlformats.org/officeDocument/2006/relationships/image" Target="media/image26.png"/><Relationship Id="rId38" Type="http://schemas.openxmlformats.org/officeDocument/2006/relationships/image" Target="media/image27.png"/><Relationship Id="rId39" Type="http://schemas.openxmlformats.org/officeDocument/2006/relationships/image" Target="media/image28.jpeg"/><Relationship Id="rId40" Type="http://schemas.openxmlformats.org/officeDocument/2006/relationships/image" Target="media/image29.png"/><Relationship Id="rId41" Type="http://schemas.openxmlformats.org/officeDocument/2006/relationships/image" Target="media/image30.png"/><Relationship Id="rId42" Type="http://schemas.openxmlformats.org/officeDocument/2006/relationships/image" Target="media/image31.png"/><Relationship Id="rId43" Type="http://schemas.openxmlformats.org/officeDocument/2006/relationships/image" Target="media/image32.png"/><Relationship Id="rId44" Type="http://schemas.openxmlformats.org/officeDocument/2006/relationships/image" Target="media/image33.png"/><Relationship Id="rId45" Type="http://schemas.openxmlformats.org/officeDocument/2006/relationships/image" Target="media/image34.png"/><Relationship Id="rId46" Type="http://schemas.openxmlformats.org/officeDocument/2006/relationships/image" Target="media/image35.png"/><Relationship Id="rId47" Type="http://schemas.openxmlformats.org/officeDocument/2006/relationships/image" Target="media/image36.png"/><Relationship Id="rId48" Type="http://schemas.openxmlformats.org/officeDocument/2006/relationships/image" Target="media/image37.png"/><Relationship Id="rId49" Type="http://schemas.openxmlformats.org/officeDocument/2006/relationships/image" Target="media/image38.jpeg"/><Relationship Id="rId50" Type="http://schemas.openxmlformats.org/officeDocument/2006/relationships/image" Target="media/image39.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2024-05-20T11:15:32Z</dcterms:created>
  <dcterms:modified xsi:type="dcterms:W3CDTF">2024-05-20T11:15:32Z</dcterms:modified>
</cp:coreProperties>
</file>