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Σοφιά</w:t>
      </w:r>
    </w:p>
    <w:p>
      <w:pPr>
        <w:spacing w:after="0" w:line="1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Έγγραφο βασικών πληροφοριών</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247015</wp:posOffset>
                </wp:positionV>
                <wp:extent cx="6367145" cy="18288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2" o:spid="_x0000_s1027" style="position:absolute;margin-left:0.6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83"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Αντικείμενο</w:t>
      </w:r>
    </w:p>
    <w:p>
      <w:pPr>
        <w:spacing w:after="0" w:line="98" w:lineRule="exact"/>
        <w:rPr>
          <w:sz w:val="24"/>
          <w:szCs w:val="24"/>
          <w:color w:val="auto"/>
        </w:rPr>
      </w:pPr>
    </w:p>
    <w:p>
      <w:pPr xmlns:w="http://schemas.openxmlformats.org/wordprocessingml/2006/main">
        <w:ind w:left="20" w:right="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Αυτό το έγγραφο σάς παρέχει βασικές πληροφορίες σχετικά με αυτό το επενδυτικό προϊόν.</w:t>
      </w:r>
      <w:r>
        <w:rPr xmlns:w="http://schemas.openxmlformats.org/wordprocessingml/2006/main">
          <w:rFonts w:ascii="Arial" w:cs="Arial" w:eastAsia="Arial" w:hAnsi="Arial"/>
          <w:sz w:val="14"/>
          <w:szCs w:val="14"/>
          <w:color w:val="5B6770"/>
        </w:rPr>
        <w:t xml:space="preserve"> Δεν είναι υλικό μάρκετινγκ.</w:t>
      </w:r>
      <w:r>
        <w:rPr xmlns:w="http://schemas.openxmlformats.org/wordprocessingml/2006/main">
          <w:rFonts w:ascii="Arial" w:cs="Arial" w:eastAsia="Arial" w:hAnsi="Arial"/>
          <w:sz w:val="14"/>
          <w:szCs w:val="14"/>
          <w:color w:val="5B6770"/>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p>
    <w:p>
      <w:pPr>
        <w:spacing w:after="0" w:line="7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Προϊόν</w:t>
      </w:r>
    </w:p>
    <w:p>
      <w:pPr>
        <w:spacing w:after="0" w:line="70" w:lineRule="exact"/>
        <w:rPr>
          <w:sz w:val="24"/>
          <w:szCs w:val="24"/>
          <w:color w:val="auto"/>
        </w:rPr>
      </w:pPr>
    </w:p>
    <w:tbl>
      <w:tblPr>
        <w:tblLayout w:type="fixed"/>
        <w:tblInd w:w="10" w:type="dxa"/>
        <w:tblCellMar>
          <w:top w:w="0" w:type="dxa"/>
          <w:left w:w="0" w:type="dxa"/>
          <w:bottom w:w="0" w:type="dxa"/>
          <w:right w:w="0" w:type="dxa"/>
        </w:tblCellMar>
      </w:tblPr>
      <w:tr>
        <w:trPr>
          <w:trHeight w:val="279"/>
        </w:trPr>
        <w:tc>
          <w:tcPr>
            <w:tcW w:w="2160" w:type="dxa"/>
            <w:vAlign w:val="bottom"/>
            <w:tcBorders>
              <w:top w:val="single" w:sz="8" w:color="5B6770"/>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Προϊόν:</w:t>
            </w:r>
          </w:p>
        </w:tc>
        <w:tc>
          <w:tcPr>
            <w:tcW w:w="246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Σοφιά</w:t>
            </w:r>
          </w:p>
        </w:tc>
        <w:tc>
          <w:tcPr>
            <w:tcW w:w="3200" w:type="dxa"/>
            <w:vAlign w:val="bottom"/>
            <w:tcBorders>
              <w:top w:val="single" w:sz="8" w:color="5B6770"/>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Κατασκευαστής PRIIP:</w:t>
            </w:r>
          </w:p>
        </w:tc>
        <w:tc>
          <w:tcPr>
            <w:tcW w:w="2240" w:type="dxa"/>
            <w:vAlign w:val="bottom"/>
            <w:tcBorders>
              <w:top w:val="single" w:sz="8" w:color="5B6770"/>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Σόφιστρι ΗΒ Limited</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ISIN:</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GB00B15KXQ89</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Αρμόδια αρχή του κατασκευαστή PRIIP:</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ΕΕ:</w:t>
            </w:r>
            <w:r>
              <w:rPr xmlns:w="http://schemas.openxmlformats.org/wordprocessingml/2006/main">
                <w:rFonts w:ascii="Arial" w:cs="Arial" w:eastAsia="Arial" w:hAnsi="Arial"/>
                <w:sz w:val="14"/>
                <w:szCs w:val="14"/>
                <w:color w:val="5B6770"/>
              </w:rPr>
              <w:t xml:space="preserve"> Central Bank of Ireland</w:t>
            </w:r>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Ηνωμένο Βασίλειο:</w:t>
            </w:r>
            <w:r>
              <w:rPr xmlns:w="http://schemas.openxmlformats.org/wordprocessingml/2006/main">
                <w:rFonts w:ascii="Arial" w:cs="Arial" w:eastAsia="Arial" w:hAnsi="Arial"/>
                <w:sz w:val="14"/>
                <w:szCs w:val="14"/>
                <w:color w:val="5B6770"/>
              </w:rPr>
              <w:t xml:space="preserve"> Αρχή Χρηματοοικονομικής Δεοντολογίας</w:t>
            </w: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Ημερομηνία εγγράφου ή πιο πρόσφατη</w:t>
            </w: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6/12/2023</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Ιστοσελίδα του κατασκευαστή PRIIP:</w:t>
            </w:r>
          </w:p>
        </w:tc>
        <w:tc>
          <w:tcPr>
            <w:tcW w:w="2240" w:type="dxa"/>
            <w:vAlign w:val="bottom"/>
            <w:tcBorders>
              <w:right w:val="single" w:sz="8" w:color="5B6770"/>
            </w:tcBorders>
            <w:vMerge w:val="restart"/>
          </w:tcPr>
          <w:p>
            <w:pPr xmlns:w="http://schemas.openxmlformats.org/wordprocessingml/2006/main">
              <w:ind w:left="60"/>
              <w:spacing w:after="0"/>
              <w:rPr>
                <w:rFonts w:ascii="Arial" w:cs="Arial" w:eastAsia="Arial" w:hAnsi="Arial"/>
                <w:sz w:val="14"/>
                <w:szCs w:val="14"/>
                <w:u w:val="single" w:color="auto"/>
                <w:color w:val="0047BB"/>
              </w:rPr>
            </w:pPr>
            <w:hyperlink r:id="rId13">
              <w:r>
                <w:rPr xmlns:w="http://schemas.openxmlformats.org/wordprocessingml/2006/main">
                  <w:rFonts w:ascii="Arial" w:cs="Arial" w:eastAsia="Arial" w:hAnsi="Arial"/>
                  <w:sz w:val="14"/>
                  <w:szCs w:val="14"/>
                  <w:u w:val="single" w:color="auto"/>
                  <w:color w:val="0047BB"/>
                </w:rPr>
                <w:t xml:space="preserve">https://www.wisdomtree.eu</w:t>
              </w:r>
            </w:hyperlink>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Αναθεώρηση:</w:t>
            </w: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173"/>
        </w:trPr>
        <w:tc>
          <w:tcPr>
            <w:tcW w:w="2160" w:type="dxa"/>
            <w:vAlign w:val="bottom"/>
            <w:tcBorders>
              <w:left w:val="single" w:sz="8" w:color="5B6770"/>
              <w:right w:val="single" w:sz="8" w:color="5B6770"/>
            </w:tcBorders>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Εκδότης:</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Χρηματιστήρια της WiseTree</w:t>
            </w:r>
          </w:p>
        </w:tc>
        <w:tc>
          <w:tcPr>
            <w:tcW w:w="3200" w:type="dxa"/>
            <w:vAlign w:val="bottom"/>
            <w:tcBorders>
              <w:right w:val="single" w:sz="8" w:color="5B6770"/>
            </w:tcBorders>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Αριθμός τηλεφώνου του κατασκευαστή PRIIP:</w:t>
            </w:r>
          </w:p>
        </w:tc>
        <w:tc>
          <w:tcPr>
            <w:tcW w:w="224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+44 (0) 207 448 4330</w:t>
            </w:r>
          </w:p>
        </w:tc>
        <w:tc>
          <w:tcPr>
            <w:tcW w:w="0" w:type="dxa"/>
            <w:vAlign w:val="bottom"/>
          </w:tcPr>
          <w:p>
            <w:pPr>
              <w:spacing w:after="0"/>
              <w:rPr>
                <w:sz w:val="1"/>
                <w:szCs w:val="1"/>
                <w:color w:val="auto"/>
              </w:rPr>
            </w:pPr>
          </w:p>
        </w:tc>
      </w:tr>
      <w:tr>
        <w:trPr>
          <w:trHeight w:val="87"/>
        </w:trPr>
        <w:tc>
          <w:tcPr>
            <w:tcW w:w="2160" w:type="dxa"/>
            <w:vAlign w:val="bottom"/>
            <w:tcBorders>
              <w:left w:val="single" w:sz="8" w:color="5B6770"/>
              <w:right w:val="single" w:sz="8" w:color="5B6770"/>
            </w:tcBorders>
            <w:vMerge w:val="continue"/>
          </w:tcPr>
          <w:p>
            <w:pPr>
              <w:spacing w:after="0"/>
              <w:rPr>
                <w:sz w:val="7"/>
                <w:szCs w:val="7"/>
                <w:color w:val="auto"/>
              </w:rPr>
            </w:pPr>
          </w:p>
        </w:tc>
        <w:tc>
          <w:tcPr>
            <w:tcW w:w="2460" w:type="dxa"/>
            <w:vAlign w:val="bottom"/>
            <w:tcBorders>
              <w:right w:val="single" w:sz="8" w:color="5B6770"/>
            </w:tcBorders>
            <w:vMerge w:val="restart"/>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Περιορισμένο</w:t>
            </w:r>
          </w:p>
        </w:tc>
        <w:tc>
          <w:tcPr>
            <w:tcW w:w="3200" w:type="dxa"/>
            <w:vAlign w:val="bottom"/>
            <w:tcBorders>
              <w:right w:val="single" w:sz="8" w:color="5B6770"/>
            </w:tcBorders>
            <w:vMerge w:val="continue"/>
          </w:tcPr>
          <w:p>
            <w:pPr>
              <w:spacing w:after="0"/>
              <w:rPr>
                <w:sz w:val="7"/>
                <w:szCs w:val="7"/>
                <w:color w:val="auto"/>
              </w:rPr>
            </w:pPr>
          </w:p>
        </w:tc>
        <w:tc>
          <w:tcPr>
            <w:tcW w:w="224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4"/>
        </w:trPr>
        <w:tc>
          <w:tcPr>
            <w:tcW w:w="2160" w:type="dxa"/>
            <w:vAlign w:val="bottom"/>
            <w:tcBorders>
              <w:left w:val="single" w:sz="8" w:color="5B6770"/>
              <w:right w:val="single" w:sz="8" w:color="5B6770"/>
            </w:tcBorders>
          </w:tcPr>
          <w:p>
            <w:pPr>
              <w:spacing w:after="0"/>
              <w:rPr>
                <w:sz w:val="7"/>
                <w:szCs w:val="7"/>
                <w:color w:val="auto"/>
              </w:rPr>
            </w:pPr>
          </w:p>
        </w:tc>
        <w:tc>
          <w:tcPr>
            <w:tcW w:w="2460" w:type="dxa"/>
            <w:vAlign w:val="bottom"/>
            <w:tcBorders>
              <w:right w:val="single" w:sz="8" w:color="5B6770"/>
            </w:tcBorders>
            <w:vMerge w:val="continue"/>
          </w:tcPr>
          <w:p>
            <w:pPr>
              <w:spacing w:after="0"/>
              <w:rPr>
                <w:sz w:val="7"/>
                <w:szCs w:val="7"/>
                <w:color w:val="auto"/>
              </w:rPr>
            </w:pPr>
          </w:p>
        </w:tc>
        <w:tc>
          <w:tcPr>
            <w:tcW w:w="3200" w:type="dxa"/>
            <w:vAlign w:val="bottom"/>
            <w:tcBorders>
              <w:right w:val="single" w:sz="8" w:color="5B6770"/>
            </w:tcBorders>
          </w:tcPr>
          <w:p>
            <w:pPr>
              <w:spacing w:after="0"/>
              <w:rPr>
                <w:sz w:val="7"/>
                <w:szCs w:val="7"/>
                <w:color w:val="auto"/>
              </w:rPr>
            </w:pPr>
          </w:p>
        </w:tc>
        <w:tc>
          <w:tcPr>
            <w:tcW w:w="2240" w:type="dxa"/>
            <w:vAlign w:val="bottom"/>
            <w:tcBorders>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25"/>
        </w:trPr>
        <w:tc>
          <w:tcPr>
            <w:tcW w:w="2160" w:type="dxa"/>
            <w:vAlign w:val="bottom"/>
            <w:tcBorders>
              <w:left w:val="single" w:sz="8" w:color="5B6770"/>
              <w:bottom w:val="single" w:sz="8" w:color="5B6770"/>
              <w:right w:val="single" w:sz="8" w:color="5B6770"/>
            </w:tcBorders>
          </w:tcPr>
          <w:p>
            <w:pPr>
              <w:spacing w:after="0"/>
              <w:rPr>
                <w:sz w:val="2"/>
                <w:szCs w:val="2"/>
                <w:color w:val="auto"/>
              </w:rPr>
            </w:pPr>
          </w:p>
        </w:tc>
        <w:tc>
          <w:tcPr>
            <w:tcW w:w="2460" w:type="dxa"/>
            <w:vAlign w:val="bottom"/>
            <w:tcBorders>
              <w:bottom w:val="single" w:sz="8" w:color="5B6770"/>
              <w:right w:val="single" w:sz="8" w:color="5B6770"/>
            </w:tcBorders>
          </w:tcPr>
          <w:p>
            <w:pPr>
              <w:spacing w:after="0"/>
              <w:rPr>
                <w:sz w:val="2"/>
                <w:szCs w:val="2"/>
                <w:color w:val="auto"/>
              </w:rPr>
            </w:pPr>
          </w:p>
        </w:tc>
        <w:tc>
          <w:tcPr>
            <w:tcW w:w="3200" w:type="dxa"/>
            <w:vAlign w:val="bottom"/>
            <w:tcBorders>
              <w:bottom w:val="single" w:sz="8" w:color="5B6770"/>
              <w:right w:val="single" w:sz="8" w:color="5B6770"/>
            </w:tcBorders>
          </w:tcPr>
          <w:p>
            <w:pPr>
              <w:spacing w:after="0"/>
              <w:rPr>
                <w:sz w:val="2"/>
                <w:szCs w:val="2"/>
                <w:color w:val="auto"/>
              </w:rPr>
            </w:pPr>
          </w:p>
        </w:tc>
        <w:tc>
          <w:tcPr>
            <w:tcW w:w="2240" w:type="dxa"/>
            <w:vAlign w:val="bottom"/>
            <w:tcBorders>
              <w:bottom w:val="single" w:sz="8" w:color="5B6770"/>
              <w:right w:val="single" w:sz="8" w:color="5B6770"/>
            </w:tcBorders>
          </w:tcPr>
          <w:p>
            <w:pPr>
              <w:spacing w:after="0"/>
              <w:rPr>
                <w:sz w:val="2"/>
                <w:szCs w:val="2"/>
                <w:color w:val="auto"/>
              </w:rPr>
            </w:pPr>
          </w:p>
        </w:tc>
        <w:tc>
          <w:tcPr>
            <w:tcW w:w="0" w:type="dxa"/>
            <w:vAlign w:val="bottom"/>
          </w:tcPr>
          <w:p>
            <w:pPr>
              <w:spacing w:after="0"/>
              <w:rPr>
                <w:sz w:val="1"/>
                <w:szCs w:val="1"/>
                <w:color w:val="auto"/>
              </w:rPr>
            </w:pPr>
          </w:p>
        </w:tc>
      </w:tr>
      <w:tr>
        <w:trPr>
          <w:trHeight w:val="259"/>
        </w:trPr>
        <w:tc>
          <w:tcPr>
            <w:tcW w:w="2160" w:type="dxa"/>
            <w:vAlign w:val="bottom"/>
            <w:tcBorders>
              <w:left w:val="single" w:sz="8" w:color="5B6770"/>
              <w:right w:val="single" w:sz="8" w:color="5B6770"/>
            </w:tcBorders>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Δικαιοδοσία:</w:t>
            </w:r>
          </w:p>
        </w:tc>
        <w:tc>
          <w:tcPr>
            <w:tcW w:w="246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Τζέρσεϊ</w:t>
            </w:r>
          </w:p>
        </w:tc>
        <w:tc>
          <w:tcPr>
            <w:tcW w:w="3200" w:type="dxa"/>
            <w:vAlign w:val="bottom"/>
            <w:tcBorders>
              <w:right w:val="single" w:sz="8" w:color="5B6770"/>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b w:val="1"/>
                <w:bCs w:val="1"/>
                <w:color w:val="5B6770"/>
                <w:w w:val="96"/>
              </w:rPr>
              <w:t xml:space="preserve">Ομάδα στην οποία συμμετέχει ο κατασκευαστής PRIIP:</w:t>
            </w:r>
          </w:p>
        </w:tc>
        <w:tc>
          <w:tcPr>
            <w:tcW w:w="2240" w:type="dxa"/>
            <w:vAlign w:val="bottom"/>
            <w:tcBorders>
              <w:right w:val="single" w:sz="8" w:color="5B6770"/>
            </w:tcBorders>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4"/>
                <w:szCs w:val="14"/>
                <w:color w:val="5B6770"/>
              </w:rPr>
              <w:t xml:space="preserve">Σοφιά</w:t>
            </w:r>
          </w:p>
        </w:tc>
        <w:tc>
          <w:tcPr>
            <w:tcW w:w="0" w:type="dxa"/>
            <w:vAlign w:val="bottom"/>
          </w:tcPr>
          <w:p>
            <w:pPr>
              <w:spacing w:after="0"/>
              <w:rPr>
                <w:sz w:val="1"/>
                <w:szCs w:val="1"/>
                <w:color w:val="auto"/>
              </w:rPr>
            </w:pPr>
          </w:p>
        </w:tc>
      </w:tr>
      <w:tr>
        <w:trPr>
          <w:trHeight w:val="109"/>
        </w:trPr>
        <w:tc>
          <w:tcPr>
            <w:tcW w:w="2160" w:type="dxa"/>
            <w:vAlign w:val="bottom"/>
            <w:tcBorders>
              <w:left w:val="single" w:sz="8" w:color="5B6770"/>
              <w:bottom w:val="single" w:sz="8" w:color="5B6770"/>
              <w:right w:val="single" w:sz="8" w:color="5B6770"/>
            </w:tcBorders>
          </w:tcPr>
          <w:p>
            <w:pPr>
              <w:spacing w:after="0"/>
              <w:rPr>
                <w:sz w:val="9"/>
                <w:szCs w:val="9"/>
                <w:color w:val="auto"/>
              </w:rPr>
            </w:pPr>
          </w:p>
        </w:tc>
        <w:tc>
          <w:tcPr>
            <w:tcW w:w="2460" w:type="dxa"/>
            <w:vAlign w:val="bottom"/>
            <w:tcBorders>
              <w:bottom w:val="single" w:sz="8" w:color="5B6770"/>
              <w:right w:val="single" w:sz="8" w:color="5B6770"/>
            </w:tcBorders>
          </w:tcPr>
          <w:p>
            <w:pPr>
              <w:spacing w:after="0"/>
              <w:rPr>
                <w:sz w:val="9"/>
                <w:szCs w:val="9"/>
                <w:color w:val="auto"/>
              </w:rPr>
            </w:pPr>
          </w:p>
        </w:tc>
        <w:tc>
          <w:tcPr>
            <w:tcW w:w="3200" w:type="dxa"/>
            <w:vAlign w:val="bottom"/>
            <w:tcBorders>
              <w:bottom w:val="single" w:sz="8" w:color="5B6770"/>
              <w:right w:val="single" w:sz="8" w:color="5B6770"/>
            </w:tcBorders>
          </w:tcPr>
          <w:p>
            <w:pPr>
              <w:spacing w:after="0"/>
              <w:rPr>
                <w:sz w:val="9"/>
                <w:szCs w:val="9"/>
                <w:color w:val="auto"/>
              </w:rPr>
            </w:pPr>
          </w:p>
        </w:tc>
        <w:tc>
          <w:tcPr>
            <w:tcW w:w="2240" w:type="dxa"/>
            <w:vAlign w:val="bottom"/>
            <w:tcBorders>
              <w:bottom w:val="single" w:sz="8" w:color="5B6770"/>
              <w:right w:val="single" w:sz="8" w:color="5B6770"/>
            </w:tcBorders>
          </w:tcPr>
          <w:p>
            <w:pPr>
              <w:spacing w:after="0"/>
              <w:rPr>
                <w:sz w:val="9"/>
                <w:szCs w:val="9"/>
                <w:color w:val="auto"/>
              </w:rPr>
            </w:pPr>
          </w:p>
        </w:tc>
        <w:tc>
          <w:tcPr>
            <w:tcW w:w="0" w:type="dxa"/>
            <w:vAlign w:val="bottom"/>
          </w:tcPr>
          <w:p>
            <w:pPr>
              <w:spacing w:after="0"/>
              <w:rPr>
                <w:sz w:val="1"/>
                <w:szCs w:val="1"/>
                <w:color w:val="auto"/>
              </w:rPr>
            </w:pPr>
          </w:p>
        </w:tc>
      </w:tr>
    </w:tbl>
    <w:p>
      <w:pPr>
        <w:spacing w:after="0" w:line="10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Πρόκειται να αγοράσετε ένα προϊόν που δεν είναι απλό και μπορεί να είναι δύσκολο να κατανοηθεί.</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8255</wp:posOffset>
                </wp:positionH>
                <wp:positionV relativeFrom="paragraph">
                  <wp:posOffset>326390</wp:posOffset>
                </wp:positionV>
                <wp:extent cx="6367145" cy="18288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3" o:spid="_x0000_s1028" style="position:absolute;margin-left:0.65pt;margin-top:25.7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200" w:lineRule="exact"/>
        <w:rPr>
          <w:sz w:val="24"/>
          <w:szCs w:val="24"/>
          <w:color w:val="auto"/>
        </w:rPr>
      </w:pPr>
    </w:p>
    <w:p>
      <w:pPr>
        <w:spacing w:after="0" w:line="312"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Τι είναι αυτό το προϊόν;</w:t>
      </w:r>
    </w:p>
    <w:p>
      <w:pPr>
        <w:spacing w:after="0" w:line="105"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Τύπος</w:t>
      </w:r>
    </w:p>
    <w:p>
      <w:pPr>
        <w:spacing w:after="0" w:line="6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Jersey δίκαιο διέπεται, μη πιστοποιημένο, εγγεγραμμένο, εξασφαλισμένο χρεωστικό τίτλο.</w:t>
      </w:r>
    </w:p>
    <w:p>
      <w:pPr>
        <w:spacing w:after="0" w:line="37"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Στόχοι</w:t>
      </w:r>
    </w:p>
    <w:p>
      <w:pPr>
        <w:spacing w:after="0" w:line="14" w:lineRule="exact"/>
        <w:rPr>
          <w:sz w:val="24"/>
          <w:szCs w:val="24"/>
          <w:color w:val="auto"/>
        </w:rPr>
      </w:pPr>
    </w:p>
    <w:p>
      <w:pPr xmlns:w="http://schemas.openxmlformats.org/wordprocessingml/2006/main">
        <w:jc w:val="both"/>
        <w:ind w:left="20"/>
        <w:spacing w:after="0" w:line="292" w:lineRule="auto"/>
        <w:rPr>
          <w:sz w:val="20"/>
          <w:szCs w:val="20"/>
          <w:color w:val="auto"/>
        </w:rPr>
      </w:pPr>
      <w:r>
        <w:rPr xmlns:w="http://schemas.openxmlformats.org/wordprocessingml/2006/main">
          <w:rFonts w:ascii="Arial" w:cs="Arial" w:eastAsia="Arial" w:hAnsi="Arial"/>
          <w:sz w:val="12"/>
          <w:szCs w:val="12"/>
          <w:color w:val="5B6770"/>
        </w:rPr>
        <w:t xml:space="preserve">Το WiseTree Copper είναι ένα πλήρως εξασφαλισμένο, επιλέξιμο για ΟΣΕΚΑ διαπραγματεύσιμο Διαπραγματεύσιμο Εμπόρευμα (ETC) σχεδιασμένο να παρέχει στους επενδυτές μια συνολική έκθεση απόδοσης στα συμβόλαια μελλοντικής εκπλήρωσης χαλκού.</w:t>
      </w:r>
      <w:r>
        <w:rPr xmlns:w="http://schemas.openxmlformats.org/wordprocessingml/2006/main">
          <w:rFonts w:ascii="Arial" w:cs="Arial" w:eastAsia="Arial" w:hAnsi="Arial"/>
          <w:sz w:val="12"/>
          <w:szCs w:val="12"/>
          <w:color w:val="5B6770"/>
        </w:rPr>
        <w:t xml:space="preserve"> Η ETC στοχεύει στην αναπαραγωγή του δείκτη Bloomberg Copper Sub Total Return Index (BCOMHGTR) με την παρακολούθηση του δείκτη Bloomberg Copper Sub Excess Return και την παροχή των εσόδων από τόκους προσαρμοσμένων ώστε να αντικατοπτρίζονται οι αμοιβές και το κόστος που σχετίζονται με το προϊόν.</w:t>
      </w:r>
      <w:r>
        <w:rPr xmlns:w="http://schemas.openxmlformats.org/wordprocessingml/2006/main">
          <w:rFonts w:ascii="Arial" w:cs="Arial" w:eastAsia="Arial" w:hAnsi="Arial"/>
          <w:sz w:val="12"/>
          <w:szCs w:val="12"/>
          <w:color w:val="5B6770"/>
        </w:rPr>
        <w:t xml:space="preserve"> Για παράδειγμα, αν ο Δείκτης Υποσυνολικής Απόδοσης Χαλκού του Bloomberg αυξηθεί κατά 1% σε μια ημέρα, τότε το ETC θα αυξηθεί κατά 1%, εξαιρουμένων των τελών.</w:t>
      </w:r>
      <w:r>
        <w:rPr xmlns:w="http://schemas.openxmlformats.org/wordprocessingml/2006/main">
          <w:rFonts w:ascii="Arial" w:cs="Arial" w:eastAsia="Arial" w:hAnsi="Arial"/>
          <w:sz w:val="12"/>
          <w:szCs w:val="12"/>
          <w:color w:val="5B6770"/>
        </w:rPr>
        <w:t xml:space="preserve"> Ωστόσο, αν ο Δείκτης Υποσυνολικής Απόδοσης Χαλκού του Bloomberg μειωθεί κατά 1% σε μια ημέρα, τότε το ETC θα μειωθεί κατά 1%, εξαιρουμένων των τελών.</w:t>
      </w:r>
    </w:p>
    <w:p>
      <w:pPr xmlns:w="http://schemas.openxmlformats.org/wordprocessingml/2006/main">
        <w:jc w:val="both"/>
        <w:ind w:left="20" w:right="20"/>
        <w:spacing w:after="0" w:line="298" w:lineRule="auto"/>
        <w:rPr>
          <w:sz w:val="20"/>
          <w:szCs w:val="20"/>
          <w:color w:val="auto"/>
        </w:rPr>
      </w:pPr>
      <w:r>
        <w:rPr xmlns:w="http://schemas.openxmlformats.org/wordprocessingml/2006/main">
          <w:rFonts w:ascii="Arial" w:cs="Arial" w:eastAsia="Arial" w:hAnsi="Arial"/>
          <w:sz w:val="13"/>
          <w:szCs w:val="13"/>
          <w:color w:val="5B6770"/>
        </w:rPr>
        <w:t xml:space="preserve">Μπορείτε να διαπραγματεύεστε αυτό το προϊόν σε διάφορα χρηματιστήρια κατά την κρίση σας.</w:t>
      </w:r>
      <w:r>
        <w:rPr xmlns:w="http://schemas.openxmlformats.org/wordprocessingml/2006/main">
          <w:rFonts w:ascii="Arial" w:cs="Arial" w:eastAsia="Arial" w:hAnsi="Arial"/>
          <w:sz w:val="13"/>
          <w:szCs w:val="13"/>
          <w:color w:val="5B6770"/>
        </w:rPr>
        <w:t xml:space="preserve"> Οι μεταβολές των τιμών στις συμβάσεις συμβολαίων μελλοντικής εκπλήρωσης που αναφέρονται στον δείκτη αναφοράς δεν θα έχουν αναγκαστικά ως αποτέλεσμα συσχετισμένες αλλαγές στο επίπεδο του δείκτη αναφοράς ή του προϊόντος.</w:t>
      </w:r>
      <w:r>
        <w:rPr xmlns:w="http://schemas.openxmlformats.org/wordprocessingml/2006/main">
          <w:rFonts w:ascii="Arial" w:cs="Arial" w:eastAsia="Arial" w:hAnsi="Arial"/>
          <w:sz w:val="13"/>
          <w:szCs w:val="13"/>
          <w:color w:val="5B6770"/>
        </w:rPr>
        <w:t xml:space="preserve"> Αυτό μπορεί να οφείλεται σε μια σειρά παραγόντων, συμπεριλαμβανομένης της επίδρασης της "κύλισης" των συμβολαίων μελλοντικής εκπλήρωσης.</w:t>
      </w:r>
    </w:p>
    <w:p>
      <w:pPr>
        <w:spacing w:after="0" w:line="1"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Επιδιωκόμενος ιδιώτης επενδυτής</w:t>
      </w:r>
    </w:p>
    <w:p>
      <w:pPr>
        <w:spacing w:after="0" w:line="53" w:lineRule="exact"/>
        <w:rPr>
          <w:sz w:val="24"/>
          <w:szCs w:val="24"/>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Αυτό το προϊόν προορίζεται για βασικούς επενδυτές λιανικής πώλησης οι οποίοι:</w:t>
      </w:r>
      <w:r>
        <w:rPr xmlns:w="http://schemas.openxmlformats.org/wordprocessingml/2006/main">
          <w:rFonts w:ascii="Arial" w:cs="Arial" w:eastAsia="Arial" w:hAnsi="Arial"/>
          <w:sz w:val="14"/>
          <w:szCs w:val="14"/>
          <w:color w:val="5B6770"/>
        </w:rPr>
        <w:t xml:space="preserve"> i) μπορεί να υποστεί απώλεια κεφαλαίου, δεν επιδιώκει τη διατήρηση του κεφαλαίου και δεν αναζητά την εγγύηση του κεφαλαίου,</w:t>
      </w:r>
      <w:r>
        <w:rPr xmlns:w="http://schemas.openxmlformats.org/wordprocessingml/2006/main">
          <w:rFonts w:ascii="Arial" w:cs="Arial" w:eastAsia="Arial" w:hAnsi="Arial"/>
          <w:sz w:val="14"/>
          <w:szCs w:val="14"/>
          <w:color w:val="5B6770"/>
        </w:rPr>
        <w:t xml:space="preserve"> ii) διαθέτουν ειδικές γνώσεις ή πείρα σε επενδύσεις σε παρόμοια προϊόντα και σε χρηματοπιστωτικές αγορές,</w:t>
      </w:r>
      <w:r>
        <w:rPr xmlns:w="http://schemas.openxmlformats.org/wordprocessingml/2006/main">
          <w:rFonts w:ascii="Arial" w:cs="Arial" w:eastAsia="Arial" w:hAnsi="Arial"/>
          <w:sz w:val="14"/>
          <w:szCs w:val="14"/>
          <w:color w:val="5B6770"/>
        </w:rPr>
        <w:t xml:space="preserve"> και iii) αναζητούν ένα προϊόν που προσφέρει άνοιγμα στην απόδοση του υποκείμενου περιουσιακού στοιχείου και έχουν επενδυτικό ορίζοντα σύμφωνα με τη συνιστώμενη περίοδο διακράτησης που αναφέρεται κατωτέρω.</w:t>
      </w:r>
    </w:p>
    <w:p>
      <w:pPr>
        <w:spacing w:after="0" w:line="24"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Διάρκεια</w:t>
      </w:r>
    </w:p>
    <w:p>
      <w:pPr>
        <w:spacing w:after="0" w:line="5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3"/>
          <w:szCs w:val="13"/>
          <w:color w:val="5B6770"/>
        </w:rPr>
        <w:t xml:space="preserve">Αυτό το προϊόν δεν έχει καθορισμένη διάρκεια.</w:t>
      </w:r>
      <w:r>
        <w:rPr xmlns:w="http://schemas.openxmlformats.org/wordprocessingml/2006/main">
          <w:rFonts w:ascii="Arial" w:cs="Arial" w:eastAsia="Arial" w:hAnsi="Arial"/>
          <w:sz w:val="13"/>
          <w:szCs w:val="13"/>
          <w:color w:val="5B6770"/>
        </w:rPr>
        <w:t xml:space="preserve"> Ο όρος θα εξαρτηθεί από το πόσο καιρό θα επιλέξετε να κρατήσετε το προϊόν.</w:t>
      </w:r>
      <w:r>
        <w:rPr xmlns:w="http://schemas.openxmlformats.org/wordprocessingml/2006/main">
          <w:rFonts w:ascii="Arial" w:cs="Arial" w:eastAsia="Arial" w:hAnsi="Arial"/>
          <w:sz w:val="13"/>
          <w:szCs w:val="13"/>
          <w:color w:val="5B6770"/>
        </w:rPr>
        <w:t xml:space="preserve"> Ο Εκδότης έχει το δικαίωμα να τερματίσει μονομερώς αυτό το προϊόν.</w:t>
      </w:r>
    </w:p>
    <w:p>
      <w:pPr>
        <w:sectPr>
          <w:pgSz w:w="10800" w:h="15600" w:orient="portrait"/>
          <w:cols w:equalWidth="0" w:num="1">
            <w:col w:w="10040"/>
          </w:cols>
          <w:pgMar w:left="380" w:top="328" w:right="380" w:bottom="1440" w:gutter="0" w:footer="0" w:header="0"/>
        </w:sectPr>
      </w:pPr>
    </w:p>
    <w:bookmarkStart w:id="1" w:name="page2"/>
    <w:bookmarkEnd w:id="1"/>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Σοφιά</w:t>
      </w:r>
    </w:p>
    <w:p>
      <w:pPr>
        <w:spacing w:after="0" w:line="14"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Έγγραφο βασικών πληροφοριών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635</wp:posOffset>
                </wp:positionH>
                <wp:positionV relativeFrom="paragraph">
                  <wp:posOffset>247015</wp:posOffset>
                </wp:positionV>
                <wp:extent cx="6367145" cy="18288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7145" cy="182880"/>
                        </a:xfrm>
                        <a:prstGeom prst="rect">
                          <a:avLst/>
                        </a:prstGeom>
                        <a:solidFill>
                          <a:srgbClr val="5B6770"/>
                        </a:solidFill>
                      </wps:spPr>
                      <wps:bodyPr/>
                    </wps:wsp>
                  </a:graphicData>
                </a:graphic>
              </wp:anchor>
            </w:drawing>
          </mc:Choice>
          <mc:Fallback>
            <w:pict>
              <v:rect id="Shape 5" o:spid="_x0000_s1030" style="position:absolute;margin-left:0.05pt;margin-top:19.45pt;width:501.3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90"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1123950</wp:posOffset>
            </wp:positionH>
            <wp:positionV relativeFrom="paragraph">
              <wp:posOffset>88900</wp:posOffset>
            </wp:positionV>
            <wp:extent cx="283210" cy="28321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1734820</wp:posOffset>
            </wp:positionH>
            <wp:positionV relativeFrom="paragraph">
              <wp:posOffset>83185</wp:posOffset>
            </wp:positionV>
            <wp:extent cx="283210" cy="2832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2344420</wp:posOffset>
            </wp:positionH>
            <wp:positionV relativeFrom="paragraph">
              <wp:posOffset>86360</wp:posOffset>
            </wp:positionV>
            <wp:extent cx="283210" cy="28321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2954020</wp:posOffset>
            </wp:positionH>
            <wp:positionV relativeFrom="paragraph">
              <wp:posOffset>90805</wp:posOffset>
            </wp:positionV>
            <wp:extent cx="283210" cy="2832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3565525</wp:posOffset>
            </wp:positionH>
            <wp:positionV relativeFrom="paragraph">
              <wp:posOffset>90805</wp:posOffset>
            </wp:positionV>
            <wp:extent cx="283210" cy="2832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4171950</wp:posOffset>
            </wp:positionH>
            <wp:positionV relativeFrom="paragraph">
              <wp:posOffset>88900</wp:posOffset>
            </wp:positionV>
            <wp:extent cx="283210" cy="28321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extLst>
                    </a:blip>
                    <a:srcRect/>
                    <a:stretch>
                      <a:fillRect/>
                    </a:stretch>
                  </pic:blipFill>
                  <pic:spPr bwMode="auto">
                    <a:xfrm>
                      <a:off x="0" y="0"/>
                      <a:ext cx="283210" cy="283210"/>
                    </a:xfrm>
                    <a:prstGeom prst="rect">
                      <a:avLst/>
                    </a:prstGeom>
                    <a:noFill/>
                  </pic:spPr>
                </pic:pic>
              </a:graphicData>
            </a:graphic>
          </wp:anchor>
        </w:drawing>
        <w:drawing>
          <wp:anchor simplePos="0" relativeHeight="251657728" behindDoc="1" locked="0" layoutInCell="0" allowOverlap="1">
            <wp:simplePos x="0" y="0"/>
            <wp:positionH relativeFrom="column">
              <wp:posOffset>4777105</wp:posOffset>
            </wp:positionH>
            <wp:positionV relativeFrom="paragraph">
              <wp:posOffset>95250</wp:posOffset>
            </wp:positionV>
            <wp:extent cx="283210" cy="28321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extLst>
                    </a:blip>
                    <a:srcRect/>
                    <a:stretch>
                      <a:fillRect/>
                    </a:stretch>
                  </pic:blipFill>
                  <pic:spPr bwMode="auto">
                    <a:xfrm>
                      <a:off x="0" y="0"/>
                      <a:ext cx="283210" cy="283210"/>
                    </a:xfrm>
                    <a:prstGeom prst="rect">
                      <a:avLst/>
                    </a:prstGeom>
                    <a:noFill/>
                  </pic:spPr>
                </pic:pic>
              </a:graphicData>
            </a:graphic>
          </wp:anchor>
        </w:drawing>
      </w:r>
    </w:p>
    <w:p>
      <w:pPr>
        <w:spacing w:after="0" w:line="49" w:lineRule="exact"/>
        <w:rPr>
          <w:sz w:val="20"/>
          <w:szCs w:val="20"/>
          <w:color w:val="auto"/>
        </w:rPr>
      </w:pPr>
    </w:p>
    <w:tbl>
      <w:tblPr>
        <w:tblLayout w:type="fixed"/>
        <w:tblInd w:w="867" w:type="dxa"/>
        <w:tblCellMar>
          <w:top w:w="0" w:type="dxa"/>
          <w:left w:w="0" w:type="dxa"/>
          <w:bottom w:w="0" w:type="dxa"/>
          <w:right w:w="0" w:type="dxa"/>
        </w:tblCellMar>
      </w:tblPr>
      <w:tr>
        <w:trPr>
          <w:trHeight w:val="322"/>
        </w:trPr>
        <w:tc>
          <w:tcPr>
            <w:tcW w:w="8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Χαμηλότερος κίνδυνος</w:t>
            </w:r>
          </w:p>
        </w:tc>
        <w:tc>
          <w:tcPr>
            <w:tcW w:w="7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1</w:t>
            </w:r>
          </w:p>
        </w:tc>
        <w:tc>
          <w:tcPr>
            <w:tcW w:w="960" w:type="dxa"/>
            <w:vAlign w:val="bottom"/>
          </w:tcPr>
          <w:p>
            <w:pPr xmlns:w="http://schemas.openxmlformats.org/wordprocessingml/2006/main">
              <w:jc w:val="right"/>
              <w:ind w:right="26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2</w:t>
            </w:r>
          </w:p>
        </w:tc>
        <w:tc>
          <w:tcPr>
            <w:tcW w:w="98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3</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4</w:t>
            </w:r>
          </w:p>
        </w:tc>
        <w:tc>
          <w:tcPr>
            <w:tcW w:w="960" w:type="dxa"/>
            <w:vAlign w:val="bottom"/>
          </w:tcPr>
          <w:p>
            <w:pPr xmlns:w="http://schemas.openxmlformats.org/wordprocessingml/2006/main">
              <w:jc w:val="right"/>
              <w:ind w:right="2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5</w:t>
            </w:r>
          </w:p>
        </w:tc>
        <w:tc>
          <w:tcPr>
            <w:tcW w:w="940" w:type="dxa"/>
            <w:vAlign w:val="bottom"/>
          </w:tcPr>
          <w:p>
            <w:pPr xmlns:w="http://schemas.openxmlformats.org/wordprocessingml/2006/main">
              <w:jc w:val="right"/>
              <w:ind w:right="259"/>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6</w:t>
            </w:r>
          </w:p>
        </w:tc>
        <w:tc>
          <w:tcPr>
            <w:tcW w:w="88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8"/>
                <w:szCs w:val="28"/>
                <w:b w:val="1"/>
                <w:bCs w:val="1"/>
                <w:color w:val="FFFFFF"/>
              </w:rPr>
              <w:t xml:space="preserve">7</w:t>
            </w:r>
          </w:p>
        </w:tc>
        <w:tc>
          <w:tcPr>
            <w:tcW w:w="1060" w:type="dxa"/>
            <w:vAlign w:val="bottom"/>
            <w:vMerge w:val="restart"/>
          </w:tcPr>
          <w:p>
            <w:pPr xmlns:w="http://schemas.openxmlformats.org/wordprocessingml/2006/main">
              <w:ind w:left="320"/>
              <w:spacing w:after="0"/>
              <w:rPr>
                <w:sz w:val="20"/>
                <w:szCs w:val="20"/>
                <w:color w:val="auto"/>
              </w:rPr>
            </w:pPr>
            <w:r>
              <w:rPr xmlns:w="http://schemas.openxmlformats.org/wordprocessingml/2006/main">
                <w:rFonts w:ascii="Arial" w:cs="Arial" w:eastAsia="Arial" w:hAnsi="Arial"/>
                <w:sz w:val="14"/>
                <w:szCs w:val="14"/>
                <w:b w:val="1"/>
                <w:bCs w:val="1"/>
                <w:color w:val="5B6770"/>
                <w:w w:val="89"/>
              </w:rPr>
              <w:t xml:space="preserve">Υψηλότερος κίνδυνος</w:t>
            </w:r>
          </w:p>
        </w:tc>
        <w:tc>
          <w:tcPr>
            <w:tcW w:w="0" w:type="dxa"/>
            <w:vAlign w:val="bottom"/>
          </w:tcPr>
          <w:p>
            <w:pPr>
              <w:spacing w:after="0"/>
              <w:rPr>
                <w:sz w:val="1"/>
                <w:szCs w:val="1"/>
                <w:color w:val="auto"/>
              </w:rPr>
            </w:pPr>
          </w:p>
        </w:tc>
      </w:tr>
      <w:tr>
        <w:trPr>
          <w:trHeight w:val="34"/>
        </w:trPr>
        <w:tc>
          <w:tcPr>
            <w:tcW w:w="860" w:type="dxa"/>
            <w:vAlign w:val="bottom"/>
            <w:vMerge w:val="continue"/>
          </w:tcPr>
          <w:p>
            <w:pPr>
              <w:spacing w:after="0"/>
              <w:rPr>
                <w:sz w:val="2"/>
                <w:szCs w:val="2"/>
                <w:color w:val="auto"/>
              </w:rPr>
            </w:pPr>
          </w:p>
        </w:tc>
        <w:tc>
          <w:tcPr>
            <w:tcW w:w="740" w:type="dxa"/>
            <w:vAlign w:val="bottom"/>
          </w:tcPr>
          <w:p>
            <w:pPr>
              <w:spacing w:after="0"/>
              <w:rPr>
                <w:sz w:val="2"/>
                <w:szCs w:val="2"/>
                <w:color w:val="auto"/>
              </w:rPr>
            </w:pPr>
          </w:p>
        </w:tc>
        <w:tc>
          <w:tcPr>
            <w:tcW w:w="960" w:type="dxa"/>
            <w:vAlign w:val="bottom"/>
          </w:tcPr>
          <w:p>
            <w:pPr>
              <w:spacing w:after="0"/>
              <w:rPr>
                <w:sz w:val="2"/>
                <w:szCs w:val="2"/>
                <w:color w:val="auto"/>
              </w:rPr>
            </w:pPr>
          </w:p>
        </w:tc>
        <w:tc>
          <w:tcPr>
            <w:tcW w:w="980" w:type="dxa"/>
            <w:vAlign w:val="bottom"/>
          </w:tcPr>
          <w:p>
            <w:pPr>
              <w:spacing w:after="0"/>
              <w:rPr>
                <w:sz w:val="2"/>
                <w:szCs w:val="2"/>
                <w:color w:val="auto"/>
              </w:rPr>
            </w:pPr>
          </w:p>
        </w:tc>
        <w:tc>
          <w:tcPr>
            <w:tcW w:w="960" w:type="dxa"/>
            <w:vAlign w:val="bottom"/>
          </w:tcPr>
          <w:p>
            <w:pPr>
              <w:spacing w:after="0"/>
              <w:rPr>
                <w:sz w:val="2"/>
                <w:szCs w:val="2"/>
                <w:color w:val="auto"/>
              </w:rPr>
            </w:pPr>
          </w:p>
        </w:tc>
        <w:tc>
          <w:tcPr>
            <w:tcW w:w="960" w:type="dxa"/>
            <w:vAlign w:val="bottom"/>
          </w:tcPr>
          <w:p>
            <w:pPr>
              <w:spacing w:after="0"/>
              <w:rPr>
                <w:sz w:val="2"/>
                <w:szCs w:val="2"/>
                <w:color w:val="auto"/>
              </w:rPr>
            </w:pPr>
          </w:p>
        </w:tc>
        <w:tc>
          <w:tcPr>
            <w:tcW w:w="940" w:type="dxa"/>
            <w:vAlign w:val="bottom"/>
          </w:tcPr>
          <w:p>
            <w:pPr>
              <w:spacing w:after="0"/>
              <w:rPr>
                <w:sz w:val="2"/>
                <w:szCs w:val="2"/>
                <w:color w:val="auto"/>
              </w:rPr>
            </w:pPr>
          </w:p>
        </w:tc>
        <w:tc>
          <w:tcPr>
            <w:tcW w:w="880" w:type="dxa"/>
            <w:vAlign w:val="bottom"/>
          </w:tcPr>
          <w:p>
            <w:pPr>
              <w:spacing w:after="0"/>
              <w:rPr>
                <w:sz w:val="2"/>
                <w:szCs w:val="2"/>
                <w:color w:val="auto"/>
              </w:rPr>
            </w:pPr>
          </w:p>
        </w:tc>
        <w:tc>
          <w:tcPr>
            <w:tcW w:w="106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bl>
    <w:p>
      <w:pPr>
        <w:spacing w:after="0" w:line="280"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Ο δείκτης κινδύνου υποθέτει ότι θα κρατήσει το προϊόν για 1 έτος.</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b w:val="1"/>
          <w:bCs w:val="1"/>
          <w:color w:val="5B6770"/>
        </w:rPr>
        <w:t xml:space="preserve">Ο πραγματικός κίνδυνος μπορεί να είναι σημαντικά υψηλότερος αν κάνετε μετρητά σε ένα αρχικό ή μεταγενέστερο στάδιο και μπορεί να πάρει πίσω λιγότερο.</w:t>
      </w:r>
    </w:p>
    <w:p>
      <w:pPr>
        <w:spacing w:after="0" w:line="41"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Arial" w:cs="Arial" w:eastAsia="Arial" w:hAnsi="Arial"/>
          <w:sz w:val="14"/>
          <w:szCs w:val="14"/>
          <w:color w:val="5B6770"/>
        </w:rPr>
        <w:t xml:space="preserve"> Δείχνει πόσο πιθανό είναι ότι το προϊόν θα χάσει χρήματα λόγω των κινήσεων στις αγορές ή επειδή δεν είμαστε σε θέση να σας πληρώσουμε.</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Έχουμε ταξινομήσει αυτό το προϊόν ως 5 από 7, το οποίο είναι μια μεσαίας κατηγορίας υψηλού κινδύνου.</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Το ποσοστό αυτό αντανακλά τις πιθανές απώλειες από τις μελλοντικές επιδόσεις σε ένα μεσαίο-υψηλό επίπεδο.</w:t>
      </w:r>
    </w:p>
    <w:p>
      <w:pPr>
        <w:spacing w:after="0" w:line="67"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b w:val="1"/>
          <w:bCs w:val="1"/>
          <w:color w:val="5B6770"/>
        </w:rPr>
        <w:t xml:space="preserve">Να είστε ενήμεροι για τους συναλλαγματικούς κινδύνους.</w:t>
      </w:r>
      <w:r>
        <w:rPr xmlns:w="http://schemas.openxmlformats.org/wordprocessingml/2006/main">
          <w:rFonts w:ascii="Arial" w:cs="Arial" w:eastAsia="Arial" w:hAnsi="Arial"/>
          <w:sz w:val="14"/>
          <w:szCs w:val="14"/>
          <w:b w:val="1"/>
          <w:bCs w:val="1"/>
          <w:color w:val="5B6770"/>
        </w:rPr>
        <w:t xml:space="preserve"> Αν το νόμισμα συναλλαγών είναι διαφορετικό από το νόμισμα βάσης, θα λάβετε τις πληρωμές σε ένα διαφορετικό νόμισμα, έτσι η τελική απόδοση που θα πάρετε θα εξαρτηθεί από τη συναλλαγματική ισοτιμία μεταξύ των δύο νομισμάτων.</w:t>
      </w:r>
      <w:r>
        <w:rPr xmlns:w="http://schemas.openxmlformats.org/wordprocessingml/2006/main">
          <w:rFonts w:ascii="Arial" w:cs="Arial" w:eastAsia="Arial" w:hAnsi="Arial"/>
          <w:sz w:val="14"/>
          <w:szCs w:val="14"/>
          <w:b w:val="1"/>
          <w:bCs w:val="1"/>
          <w:color w:val="5B6770"/>
        </w:rPr>
        <w:t xml:space="preserve"> Ο κίνδυνος αυτός δεν λαμβάνεται υπόψη στον προαναφερόμενο δείκτη.</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Ο εκδότης μπορεί να καταγγείλει το παρόν προϊόν μονομερώς και, σε ορισμένες περιπτώσεις υποχρεωτικής εξόφλησης, μπορεί να το πράξει σε πολύ σύντομο χρονικό διάστημα, όπως ορίζεται στο ενημερωτικό δελτίο.</w:t>
      </w:r>
    </w:p>
    <w:p>
      <w:pPr>
        <w:spacing w:after="0" w:line="6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1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Παράγοντες που επηρεάζουν την απόδοση του προϊόντος στο τέλος της συνιστώμενης περιόδου διατήρησης</w:t>
      </w:r>
    </w:p>
    <w:p>
      <w:pPr>
        <w:spacing w:after="0" w:line="74" w:lineRule="exact"/>
        <w:rPr>
          <w:sz w:val="20"/>
          <w:szCs w:val="20"/>
          <w:color w:val="auto"/>
        </w:rPr>
      </w:pPr>
    </w:p>
    <w:p>
      <w:pPr xmlns:w="http://schemas.openxmlformats.org/wordprocessingml/2006/main">
        <w:ind w:left="7" w:right="14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Η απόδοση του προϊόντος στο τέλος της συνιστώμενης περιόδου διακράτησης θα επηρεάζεται κυρίως από την απόδοση των υποκείμενων περιουσιακών στοιχείων κατά τη διάρκεια της συνιστώμενης περιόδου διακράτησης και από τη συναλλαγματική ισοτιμία μεταξύ του νομίσματος του προϊόντος και του νομίσματος στο οποίο αγοράσατε το προϊόν.</w:t>
      </w:r>
    </w:p>
    <w:p>
      <w:pPr>
        <w:spacing w:after="0" w:line="40"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Τι θα μπορούσε να επηρεάσει θετικά την επιστροφή μου;</w:t>
      </w:r>
    </w:p>
    <w:p>
      <w:pPr>
        <w:spacing w:after="0" w:line="67" w:lineRule="exact"/>
        <w:rPr>
          <w:sz w:val="20"/>
          <w:szCs w:val="20"/>
          <w:color w:val="auto"/>
        </w:rPr>
      </w:pPr>
    </w:p>
    <w:p>
      <w:pPr xmlns:w="http://schemas.openxmlformats.org/wordprocessingml/2006/main">
        <w:ind w:left="7" w:right="5720" w:hanging="7"/>
        <w:spacing w:after="0" w:line="340" w:lineRule="auto"/>
        <w:tabs>
          <w:tab w:leader="none" w:pos="106"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Αύξηση του επιπέδου της συνολικής απόδοσης του υποδείκτη χαλκού του Bloomberg.</w:t>
      </w:r>
      <w:r>
        <w:rPr xmlns:w="http://schemas.openxmlformats.org/wordprocessingml/2006/main">
          <w:rFonts w:ascii="Arial" w:cs="Arial" w:eastAsia="Arial" w:hAnsi="Arial"/>
          <w:sz w:val="14"/>
          <w:szCs w:val="14"/>
          <w:color w:val="5B6770"/>
        </w:rPr>
        <w:t xml:space="preserve"> Τι θα μπορούσε να επηρεάσει την επιστροφή μου αρνητικά;</w:t>
      </w:r>
    </w:p>
    <w:p>
      <w:pPr xmlns:w="http://schemas.openxmlformats.org/wordprocessingml/2006/main">
        <w:ind w:left="107" w:hanging="107"/>
        <w:spacing w:after="0"/>
        <w:tabs>
          <w:tab w:leader="none" w:pos="107" w:val="left"/>
        </w:tabs>
        <w:numPr>
          <w:ilvl w:val="0"/>
          <w:numId w:val="1"/>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Μείωση του επιπέδου της συνολικής απόδοσης του υποδείκτη χαλκού του Bloomberg.</w:t>
      </w:r>
    </w:p>
    <w:p>
      <w:pPr>
        <w:spacing w:after="0" w:line="67" w:lineRule="exact"/>
        <w:rPr>
          <w:sz w:val="20"/>
          <w:szCs w:val="20"/>
          <w:color w:val="auto"/>
        </w:rPr>
      </w:pPr>
    </w:p>
    <w:p>
      <w:pPr xmlns:w="http://schemas.openxmlformats.org/wordprocessingml/2006/main">
        <w:jc w:val="both"/>
        <w:ind w:left="7" w:right="14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Οι παράγοντες που αναφέρονται παραπάνω παρέχουν γενικές οδηγίες για το πώς οι αλλαγές στο επίπεδο του Υποδείκτη Συνολικής Απόδοσης του Bloomberg Copper μπορεί να επηρεάσουν την επιστροφή σας.</w:t>
      </w:r>
      <w:r>
        <w:rPr xmlns:w="http://schemas.openxmlformats.org/wordprocessingml/2006/main">
          <w:rFonts w:ascii="Arial" w:cs="Arial" w:eastAsia="Arial" w:hAnsi="Arial"/>
          <w:sz w:val="14"/>
          <w:szCs w:val="14"/>
          <w:color w:val="5B6770"/>
        </w:rPr>
        <w:t xml:space="preserve"> Ο ακριβής αντίκτυπος θα εξαρτηθεί από τον χρόνο και το μέγεθος αυτών των αλλαγών και ο ανωτέρω κατάλογος δεν θα πρέπει να θεωρηθεί ότι εγγυάται ένα συγκεκριμένο αποτέλεσμα.</w:t>
      </w:r>
      <w:r>
        <w:rPr xmlns:w="http://schemas.openxmlformats.org/wordprocessingml/2006/main">
          <w:rFonts w:ascii="Arial" w:cs="Arial" w:eastAsia="Arial" w:hAnsi="Arial"/>
          <w:sz w:val="14"/>
          <w:szCs w:val="14"/>
          <w:color w:val="5B6770"/>
        </w:rPr>
        <w:t xml:space="preserve"> Δείτε «Τι είναι αυτό το προϊόν;»</w:t>
      </w:r>
      <w:r>
        <w:rPr xmlns:w="http://schemas.openxmlformats.org/wordprocessingml/2006/main">
          <w:rFonts w:ascii="Arial" w:cs="Arial" w:eastAsia="Arial" w:hAnsi="Arial"/>
          <w:sz w:val="14"/>
          <w:szCs w:val="14"/>
          <w:color w:val="5B6770"/>
        </w:rPr>
        <w:t xml:space="preserve"> για να συζητήσετε τι θα λάβετε όταν βγείτε από το προϊόν.</w:t>
      </w:r>
    </w:p>
    <w:p>
      <w:pPr>
        <w:spacing w:after="0" w:line="47"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Σε πολύ αντίξοες συνθήκες της αγοράς μπορεί να χάσετε ολόκληρη την επένδυσή σας.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8890" cy="18288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8890" cy="182880"/>
                        </a:xfrm>
                        <a:prstGeom prst="rect">
                          <a:avLst/>
                        </a:prstGeom>
                        <a:solidFill>
                          <a:srgbClr val="5B6770"/>
                        </a:solidFill>
                      </wps:spPr>
                      <wps:bodyPr/>
                    </wps:wsp>
                  </a:graphicData>
                </a:graphic>
              </wp:anchor>
            </w:drawing>
          </mc:Choice>
          <mc:Fallback>
            <w:pict>
              <v:rect id="Shape 13" o:spid="_x0000_s1038" style="position:absolute;margin-left:0pt;margin-top:7.7pt;width:500.7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0</wp:posOffset>
                </wp:positionH>
                <wp:positionV relativeFrom="paragraph">
                  <wp:posOffset>97790</wp:posOffset>
                </wp:positionV>
                <wp:extent cx="63595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7.7pt" to="500.75pt,7.7pt" o:allowincell="f" strokecolor="#5B6770" strokeweight="0.25pt"/>
            </w:pict>
          </mc:Fallback>
        </mc:AlternateContent>
      </w:r>
    </w:p>
    <w:p>
      <w:pPr>
        <w:spacing w:after="0" w:line="151" w:lineRule="exact"/>
        <w:rPr>
          <w:sz w:val="20"/>
          <w:szCs w:val="20"/>
          <w:color w:val="auto"/>
        </w:rPr>
      </w:pPr>
    </w:p>
    <w:p>
      <w:pPr xmlns:w="http://schemas.openxmlformats.org/wordprocessingml/2006/main">
        <w:ind w:left="147"/>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Τι θα συμβεί αν η SofiaTree Commodity Securities Limited δεν είναι σε θέση να πληρώσει;</w:t>
      </w:r>
    </w:p>
    <w:p>
      <w:pPr>
        <w:spacing w:after="0" w:line="206" w:lineRule="exact"/>
        <w:rPr>
          <w:sz w:val="20"/>
          <w:szCs w:val="20"/>
          <w:color w:val="auto"/>
        </w:rPr>
      </w:pPr>
    </w:p>
    <w:p>
      <w:pPr xmlns:w="http://schemas.openxmlformats.org/wordprocessingml/2006/main">
        <w:jc w:val="both"/>
        <w:ind w:left="7"/>
        <w:spacing w:after="0" w:line="255" w:lineRule="auto"/>
        <w:rPr>
          <w:sz w:val="20"/>
          <w:szCs w:val="20"/>
          <w:color w:val="auto"/>
        </w:rPr>
      </w:pPr>
      <w:r>
        <w:rPr xmlns:w="http://schemas.openxmlformats.org/wordprocessingml/2006/main">
          <w:rFonts w:ascii="Arial" w:cs="Arial" w:eastAsia="Arial" w:hAnsi="Arial"/>
          <w:sz w:val="14"/>
          <w:szCs w:val="14"/>
          <w:color w:val="5B6770"/>
        </w:rPr>
        <w:t xml:space="preserve">Ο εκδότης είναι εταιρεία ειδικού σκοπού.</w:t>
      </w:r>
      <w:r>
        <w:rPr xmlns:w="http://schemas.openxmlformats.org/wordprocessingml/2006/main">
          <w:rFonts w:ascii="Arial" w:cs="Arial" w:eastAsia="Arial" w:hAnsi="Arial"/>
          <w:sz w:val="14"/>
          <w:szCs w:val="14"/>
          <w:color w:val="5B6770"/>
        </w:rPr>
        <w:t xml:space="preserve"> Σε περίπτωση αθέτησης υποχρέωσης από τον Εκδότη, οι τυχόν απαιτήσεις έναντι του Εκδότη θα ικανοποιούνται κατά σειρά προτεραιότητας των πληρωμών που καθορίζονται στους όρους του προϊόντος.</w:t>
      </w:r>
      <w:r>
        <w:rPr xmlns:w="http://schemas.openxmlformats.org/wordprocessingml/2006/main">
          <w:rFonts w:ascii="Arial" w:cs="Arial" w:eastAsia="Arial" w:hAnsi="Arial"/>
          <w:sz w:val="14"/>
          <w:szCs w:val="14"/>
          <w:color w:val="5B6770"/>
        </w:rPr>
        <w:t xml:space="preserve"> Αν τα καθαρά έσοδα από την αναγκαστική εκτέλεση του εξασφαλισμένου ακινήτου που αφορά το προϊόν δεν επαρκούν για την εκπλήρωση όλων των υποχρεώσεων και για την πραγματοποίηση όλων των οφειλόμενων πληρωμών σε σχέση με τους τίτλους, οι υποχρεώσεις του εκδότη όσον αφορά τους εν λόγω τίτλους θα περιορίζονται στο καθαρό προϊόν της ρευστοποίησης του σχετικού εξασφαλισμένου ακινήτου.</w:t>
      </w:r>
      <w:r>
        <w:rPr xmlns:w="http://schemas.openxmlformats.org/wordprocessingml/2006/main">
          <w:rFonts w:ascii="Arial" w:cs="Arial" w:eastAsia="Arial" w:hAnsi="Arial"/>
          <w:sz w:val="14"/>
          <w:szCs w:val="14"/>
          <w:color w:val="5B6770"/>
        </w:rPr>
        <w:t xml:space="preserve"> Σε αυτές τις περιπτώσεις μπορεί να υποστείτε απώλεια αν δεν μπορείτε να συνειδητοποιήσετε την πλήρη αξία της επένδυσής σας.</w:t>
      </w:r>
    </w:p>
    <w:p>
      <w:pPr>
        <w:spacing w:after="0" w:line="48" w:lineRule="exact"/>
        <w:rPr>
          <w:sz w:val="20"/>
          <w:szCs w:val="20"/>
          <w:color w:val="auto"/>
        </w:rPr>
      </w:pPr>
    </w:p>
    <w:p>
      <w:pPr xmlns:w="http://schemas.openxmlformats.org/wordprocessingml/2006/main">
        <w:ind w:left="7"/>
        <w:spacing w:after="0"/>
        <w:rPr>
          <w:sz w:val="20"/>
          <w:szCs w:val="20"/>
          <w:color w:val="auto"/>
        </w:rPr>
      </w:pPr>
      <w:r>
        <w:rPr xmlns:w="http://schemas.openxmlformats.org/wordprocessingml/2006/main">
          <w:rFonts w:ascii="Arial" w:cs="Arial" w:eastAsia="Arial" w:hAnsi="Arial"/>
          <w:sz w:val="14"/>
          <w:szCs w:val="14"/>
          <w:color w:val="5B6770"/>
        </w:rPr>
        <w:t xml:space="preserve">Το προϊόν δεν προστατεύεται από σύστημα αποζημίωσης ή εγγύησης των επενδυτών.</w:t>
      </w:r>
    </w:p>
    <w:p>
      <w:pPr>
        <w:sectPr>
          <w:pgSz w:w="10800" w:h="15600" w:orient="portrait"/>
          <w:cols w:equalWidth="0" w:num="1">
            <w:col w:w="10007"/>
          </w:cols>
          <w:pgMar w:left="393" w:top="328" w:right="400" w:bottom="1440" w:gutter="0" w:footer="0" w:header="0"/>
        </w:sectPr>
      </w:pPr>
    </w:p>
    <w:bookmarkStart w:id="2" w:name="page3"/>
    <w:bookmarkEnd w:id="2"/>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5304790</wp:posOffset>
            </wp:positionH>
            <wp:positionV relativeFrom="page">
              <wp:posOffset>181610</wp:posOffset>
            </wp:positionV>
            <wp:extent cx="1303020" cy="49212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clrChange>
                        <a:clrFrom>
                          <a:srgbClr val="FFFFFF"/>
                        </a:clrFrom>
                        <a:clrTo>
                          <a:srgbClr val="FFFFFF">
                            <a:alpha val="0"/>
                          </a:srgbClr>
                        </a:clrTo>
                      </a:clrChange>
                      <a:extLst>
                        <a:ext uri="{28A0092B-C50C-407E-A947-70E740481C1C}"/>
                      </a:extLst>
                    </a:blip>
                    <a:srcRect/>
                    <a:stretch>
                      <a:fillRect/>
                    </a:stretch>
                  </pic:blipFill>
                  <pic:spPr bwMode="auto">
                    <a:xfrm>
                      <a:off x="0" y="0"/>
                      <a:ext cx="1303020" cy="492125"/>
                    </a:xfrm>
                    <a:prstGeom prst="rect">
                      <a:avLst/>
                    </a:prstGeom>
                    <a:noFill/>
                  </pic:spPr>
                </pic:pic>
              </a:graphicData>
            </a:graphic>
          </wp:anchor>
        </w:drawing>
      </w:r>
      <w:r>
        <w:rPr xmlns:w="http://schemas.openxmlformats.org/wordprocessingml/2006/main">
          <w:rFonts w:ascii="Arial" w:cs="Arial" w:eastAsia="Arial" w:hAnsi="Arial"/>
          <w:sz w:val="28"/>
          <w:szCs w:val="28"/>
          <w:b w:val="1"/>
          <w:bCs w:val="1"/>
          <w:color w:val="5B6770"/>
        </w:rPr>
        <w:t xml:space="preserve">Σοφιά</w:t>
      </w:r>
    </w:p>
    <w:p>
      <w:pPr>
        <w:spacing w:after="0" w:line="14"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8"/>
          <w:szCs w:val="28"/>
          <w:b w:val="1"/>
          <w:bCs w:val="1"/>
          <w:color w:val="5B6770"/>
        </w:rPr>
        <w:t xml:space="preserve">Έγγραφο βασικών πληροφοριών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241935</wp:posOffset>
                </wp:positionV>
                <wp:extent cx="6359525" cy="18288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16" o:spid="_x0000_s1041" style="position:absolute;margin-left:0.6pt;margin-top:19.0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37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Ποιο είναι το κόστος;</w:t>
      </w:r>
    </w:p>
    <w:p>
      <w:pPr>
        <w:spacing w:after="0" w:line="110"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Το άτομο που σας πουλάει ή σας συμβουλεύει σχετικά με αυτό το προϊόν μπορεί να σας χρεώσει άλλα έξοδα.</w:t>
      </w:r>
      <w:r>
        <w:rPr xmlns:w="http://schemas.openxmlformats.org/wordprocessingml/2006/main">
          <w:rFonts w:ascii="Arial" w:cs="Arial" w:eastAsia="Arial" w:hAnsi="Arial"/>
          <w:sz w:val="14"/>
          <w:szCs w:val="14"/>
          <w:color w:val="5B6770"/>
        </w:rPr>
        <w:t xml:space="preserve"> Αν ναι, αυτό το άτομο θα σας παρέχει πληροφορίες σχετικά με αυτές τις δαπάνες και τον τρόπο που επηρεάζουν την επένδυσή σας.</w:t>
      </w:r>
    </w:p>
    <w:p>
      <w:pPr>
        <w:spacing w:after="0" w:line="3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Διαχρονικά κόστη</w:t>
      </w:r>
    </w:p>
    <w:p>
      <w:pPr>
        <w:spacing w:after="0" w:line="74" w:lineRule="exact"/>
        <w:rPr>
          <w:sz w:val="20"/>
          <w:szCs w:val="20"/>
          <w:color w:val="auto"/>
        </w:rPr>
      </w:pPr>
    </w:p>
    <w:p>
      <w:pPr xmlns:w="http://schemas.openxmlformats.org/wordprocessingml/2006/main">
        <w:jc w:val="both"/>
        <w:ind w:left="20" w:righ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Οι πίνακες δείχνουν τα ποσά που λαμβάνονται από την επένδυσή σας για την κάλυψη των διαφόρων τύπων δαπανών.</w:t>
      </w:r>
      <w:r>
        <w:rPr xmlns:w="http://schemas.openxmlformats.org/wordprocessingml/2006/main">
          <w:rFonts w:ascii="Arial" w:cs="Arial" w:eastAsia="Arial" w:hAnsi="Arial"/>
          <w:sz w:val="14"/>
          <w:szCs w:val="14"/>
          <w:color w:val="5B6770"/>
        </w:rPr>
        <w:t xml:space="preserve"> Τα ποσά αυτά εξαρτώνται από το ποσό της επένδυσης, το διάστημα κατοχής του προϊόντος και το πόσο καλά λειτουργεί το προϊόν (κατά περίπτωση).</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color w:val="5B6770"/>
        </w:rPr>
        <w:t xml:space="preserve">Τα ποσά που παρουσιάζονται εδώ απεικονίζονται με βάση ένα παράδειγμα ποσού επένδυσης και τις διάφορες πιθανές περιόδους επένδυσης:</w:t>
      </w:r>
    </w:p>
    <w:p>
      <w:pPr>
        <w:spacing w:after="0" w:line="47"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Υποθέσαμε ότι:</w:t>
      </w:r>
    </w:p>
    <w:p>
      <w:pPr>
        <w:spacing w:after="0" w:line="67" w:lineRule="exact"/>
        <w:rPr>
          <w:sz w:val="20"/>
          <w:szCs w:val="20"/>
          <w:color w:val="auto"/>
        </w:rPr>
      </w:pPr>
    </w:p>
    <w:p>
      <w:pPr xmlns:w="http://schemas.openxmlformats.org/wordprocessingml/2006/main">
        <w:ind w:left="20" w:right="20" w:hanging="7"/>
        <w:spacing w:after="0" w:line="265" w:lineRule="auto"/>
        <w:tabs>
          <w:tab w:leader="none" w:pos="154"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Κατά το πρώτο έτος θα πάρετε πίσω το ποσό που επενδύσατε (0 % ετήσια απόδοση).</w:t>
      </w:r>
      <w:r>
        <w:rPr xmlns:w="http://schemas.openxmlformats.org/wordprocessingml/2006/main">
          <w:rFonts w:ascii="Arial" w:cs="Arial" w:eastAsia="Arial" w:hAnsi="Arial"/>
          <w:sz w:val="14"/>
          <w:szCs w:val="14"/>
          <w:color w:val="5B6770"/>
        </w:rPr>
        <w:t xml:space="preserve"> </w:t>
      </w:r>
      <w:r>
        <w:rPr xmlns:w="http://schemas.openxmlformats.org/wordprocessingml/2006/main">
          <w:rFonts w:ascii="Arial" w:cs="Arial" w:eastAsia="Arial" w:hAnsi="Arial"/>
          <w:sz w:val="14"/>
          <w:szCs w:val="14"/>
          <w:color w:val="5B6770"/>
        </w:rPr>
        <w:t xml:space="preserve">Για τις άλλες περιόδους διατήρησης έχουμε υποθέσει ότι το προϊόν αποδίδει όπως φαίνεται σε ένα μέτριο σενάριο</w:t>
      </w:r>
    </w:p>
    <w:p>
      <w:pPr>
        <w:spacing w:after="0" w:line="40"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2"/>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10.000 επενδύονται (USD)</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3363595</wp:posOffset>
                </wp:positionH>
                <wp:positionV relativeFrom="paragraph">
                  <wp:posOffset>51435</wp:posOffset>
                </wp:positionV>
                <wp:extent cx="0" cy="18415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64.85pt,4.05pt" to="264.85pt,18.55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3363595</wp:posOffset>
                </wp:positionH>
                <wp:positionV relativeFrom="paragraph">
                  <wp:posOffset>234315</wp:posOffset>
                </wp:positionV>
                <wp:extent cx="0" cy="36893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6893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64.85pt,18.45pt" to="264.85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52705</wp:posOffset>
                </wp:positionV>
                <wp:extent cx="6363335" cy="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333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15pt" to="501.5pt,4.1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5715</wp:posOffset>
                </wp:positionH>
                <wp:positionV relativeFrom="paragraph">
                  <wp:posOffset>601345</wp:posOffset>
                </wp:positionV>
                <wp:extent cx="6363335" cy="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63335" cy="4763"/>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45pt,47.35pt" to="501.5pt,47.3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7620</wp:posOffset>
                </wp:positionH>
                <wp:positionV relativeFrom="paragraph">
                  <wp:posOffset>51435</wp:posOffset>
                </wp:positionV>
                <wp:extent cx="0" cy="55181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6pt,4.05pt" to="0.6pt,47.5pt" o:allowincell="f" strokecolor="#5B6770" strokeweight="0.25pt"/>
            </w:pict>
          </mc:Fallback>
        </mc:AlternateContent>
        <mc:AlternateContent>
          <mc:Choice Requires="wps">
            <w:drawing>
              <wp:anchor simplePos="0" relativeHeight="251657728" behindDoc="1" locked="0" layoutInCell="0" allowOverlap="1">
                <wp:simplePos x="0" y="0"/>
                <wp:positionH relativeFrom="column">
                  <wp:posOffset>6367145</wp:posOffset>
                </wp:positionH>
                <wp:positionV relativeFrom="paragraph">
                  <wp:posOffset>51435</wp:posOffset>
                </wp:positionV>
                <wp:extent cx="0" cy="551815"/>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551815"/>
                        </a:xfrm>
                        <a:prstGeom prst="line">
                          <a:avLst/>
                        </a:prstGeom>
                        <a:solidFill>
                          <a:srgbClr val="FFFFFF"/>
                        </a:solidFill>
                        <a:ln w="3175">
                          <a:solidFill>
                            <a:srgbClr val="5B677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01.35pt,4.05pt" to="501.35pt,47.5pt" o:allowincell="f" strokecolor="#5B6770" strokeweight="0.25pt"/>
            </w:pict>
          </mc:Fallback>
        </mc:AlternateContent>
      </w:r>
    </w:p>
    <w:p>
      <w:pPr>
        <w:spacing w:after="0" w:line="64" w:lineRule="exact"/>
        <w:rPr>
          <w:sz w:val="20"/>
          <w:szCs w:val="20"/>
          <w:color w:val="auto"/>
        </w:rPr>
      </w:pPr>
    </w:p>
    <w:tbl>
      <w:tblPr>
        <w:tblLayout w:type="fixed"/>
        <w:tblInd w:w="0" w:type="dxa"/>
        <w:tblCellMar>
          <w:top w:w="0" w:type="dxa"/>
          <w:left w:w="0" w:type="dxa"/>
          <w:bottom w:w="0" w:type="dxa"/>
          <w:right w:w="0" w:type="dxa"/>
        </w:tblCellMar>
      </w:tblPr>
      <w:tr>
        <w:trPr>
          <w:trHeight w:val="226"/>
        </w:trPr>
        <w:tc>
          <w:tcPr>
            <w:tcW w:w="20" w:type="dxa"/>
            <w:vAlign w:val="bottom"/>
          </w:tcPr>
          <w:p>
            <w:pPr>
              <w:spacing w:after="0"/>
              <w:rPr>
                <w:sz w:val="19"/>
                <w:szCs w:val="19"/>
                <w:color w:val="auto"/>
              </w:rPr>
            </w:pPr>
          </w:p>
        </w:tc>
        <w:tc>
          <w:tcPr>
            <w:tcW w:w="4240" w:type="dxa"/>
            <w:vAlign w:val="bottom"/>
            <w:shd w:val="clear" w:color="auto" w:fill="5B6770"/>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Επένδυση $10.000</w:t>
            </w:r>
          </w:p>
        </w:tc>
        <w:tc>
          <w:tcPr>
            <w:tcW w:w="5760" w:type="dxa"/>
            <w:vAlign w:val="bottom"/>
            <w:shd w:val="clear" w:color="auto" w:fill="5B6770"/>
          </w:tcPr>
          <w:p>
            <w:pPr xmlns:w="http://schemas.openxmlformats.org/wordprocessingml/2006/main">
              <w:ind w:left="272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40" w:type="dxa"/>
            <w:vAlign w:val="bottom"/>
          </w:tcPr>
          <w:p>
            <w:pPr>
              <w:spacing w:after="0"/>
              <w:rPr>
                <w:sz w:val="19"/>
                <w:szCs w:val="19"/>
                <w:color w:val="auto"/>
              </w:rPr>
            </w:pPr>
          </w:p>
        </w:tc>
      </w:tr>
      <w:tr>
        <w:trPr>
          <w:trHeight w:val="59"/>
        </w:trPr>
        <w:tc>
          <w:tcPr>
            <w:tcW w:w="20" w:type="dxa"/>
            <w:vAlign w:val="bottom"/>
            <w:tcBorders>
              <w:bottom w:val="single" w:sz="8" w:color="5B6770"/>
            </w:tcBorders>
          </w:tcPr>
          <w:p>
            <w:pPr>
              <w:spacing w:after="0"/>
              <w:rPr>
                <w:sz w:val="5"/>
                <w:szCs w:val="5"/>
                <w:color w:val="auto"/>
              </w:rPr>
            </w:pPr>
          </w:p>
        </w:tc>
        <w:tc>
          <w:tcPr>
            <w:tcW w:w="4240" w:type="dxa"/>
            <w:vAlign w:val="bottom"/>
            <w:tcBorders>
              <w:bottom w:val="single" w:sz="8" w:color="5B6770"/>
            </w:tcBorders>
            <w:shd w:val="clear" w:color="auto" w:fill="5B6770"/>
          </w:tcPr>
          <w:p>
            <w:pPr>
              <w:spacing w:after="0"/>
              <w:rPr>
                <w:sz w:val="5"/>
                <w:szCs w:val="5"/>
                <w:color w:val="auto"/>
              </w:rPr>
            </w:pPr>
          </w:p>
        </w:tc>
        <w:tc>
          <w:tcPr>
            <w:tcW w:w="5760" w:type="dxa"/>
            <w:vAlign w:val="bottom"/>
            <w:tcBorders>
              <w:bottom w:val="single" w:sz="8" w:color="5B6770"/>
            </w:tcBorders>
            <w:shd w:val="clear" w:color="auto" w:fill="5B6770"/>
          </w:tcPr>
          <w:p>
            <w:pPr>
              <w:spacing w:after="0"/>
              <w:rPr>
                <w:sz w:val="5"/>
                <w:szCs w:val="5"/>
                <w:color w:val="auto"/>
              </w:rPr>
            </w:pPr>
          </w:p>
        </w:tc>
        <w:tc>
          <w:tcPr>
            <w:tcW w:w="40" w:type="dxa"/>
            <w:vAlign w:val="bottom"/>
            <w:tcBorders>
              <w:bottom w:val="single" w:sz="8" w:color="5B6770"/>
            </w:tcBorders>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424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Σύνολο δαπανών</w:t>
            </w:r>
          </w:p>
        </w:tc>
        <w:tc>
          <w:tcPr>
            <w:tcW w:w="5760" w:type="dxa"/>
            <w:vAlign w:val="bottom"/>
          </w:tcPr>
          <w:p>
            <w:pPr xmlns:w="http://schemas.openxmlformats.org/wordprocessingml/2006/main">
              <w:jc w:val="right"/>
              <w:ind w:right="2090"/>
              <w:spacing w:after="0"/>
              <w:rPr>
                <w:sz w:val="20"/>
                <w:szCs w:val="20"/>
                <w:color w:val="auto"/>
              </w:rPr>
            </w:pPr>
            <w:r>
              <w:rPr xmlns:w="http://schemas.openxmlformats.org/wordprocessingml/2006/main">
                <w:rFonts w:ascii="Arial" w:cs="Arial" w:eastAsia="Arial" w:hAnsi="Arial"/>
                <w:sz w:val="14"/>
                <w:szCs w:val="14"/>
                <w:color w:val="5B6770"/>
              </w:rPr>
              <w:t xml:space="preserve">99,00 $</w:t>
            </w:r>
          </w:p>
        </w:tc>
        <w:tc>
          <w:tcPr>
            <w:tcW w:w="40" w:type="dxa"/>
            <w:vAlign w:val="bottom"/>
          </w:tcPr>
          <w:p>
            <w:pPr>
              <w:spacing w:after="0"/>
              <w:rPr>
                <w:sz w:val="18"/>
                <w:szCs w:val="18"/>
                <w:color w:val="auto"/>
              </w:rPr>
            </w:pPr>
          </w:p>
        </w:tc>
      </w:tr>
      <w:tr>
        <w:trPr>
          <w:trHeight w:val="59"/>
        </w:trPr>
        <w:tc>
          <w:tcPr>
            <w:tcW w:w="20" w:type="dxa"/>
            <w:vAlign w:val="bottom"/>
            <w:tcBorders>
              <w:bottom w:val="single" w:sz="8" w:color="5B6770"/>
            </w:tcBorders>
          </w:tcPr>
          <w:p>
            <w:pPr>
              <w:spacing w:after="0"/>
              <w:rPr>
                <w:sz w:val="5"/>
                <w:szCs w:val="5"/>
                <w:color w:val="auto"/>
              </w:rPr>
            </w:pPr>
          </w:p>
        </w:tc>
        <w:tc>
          <w:tcPr>
            <w:tcW w:w="4240" w:type="dxa"/>
            <w:vAlign w:val="bottom"/>
            <w:tcBorders>
              <w:bottom w:val="single" w:sz="8" w:color="5B6770"/>
            </w:tcBorders>
          </w:tcPr>
          <w:p>
            <w:pPr>
              <w:spacing w:after="0"/>
              <w:rPr>
                <w:sz w:val="5"/>
                <w:szCs w:val="5"/>
                <w:color w:val="auto"/>
              </w:rPr>
            </w:pPr>
          </w:p>
        </w:tc>
        <w:tc>
          <w:tcPr>
            <w:tcW w:w="5760" w:type="dxa"/>
            <w:vAlign w:val="bottom"/>
            <w:tcBorders>
              <w:bottom w:val="single" w:sz="8" w:color="5B6770"/>
            </w:tcBorders>
          </w:tcPr>
          <w:p>
            <w:pPr>
              <w:spacing w:after="0"/>
              <w:rPr>
                <w:sz w:val="5"/>
                <w:szCs w:val="5"/>
                <w:color w:val="auto"/>
              </w:rPr>
            </w:pPr>
          </w:p>
        </w:tc>
        <w:tc>
          <w:tcPr>
            <w:tcW w:w="40" w:type="dxa"/>
            <w:vAlign w:val="bottom"/>
            <w:tcBorders>
              <w:bottom w:val="single" w:sz="8" w:color="5B6770"/>
            </w:tcBorders>
          </w:tcPr>
          <w:p>
            <w:pPr>
              <w:spacing w:after="0"/>
              <w:rPr>
                <w:sz w:val="5"/>
                <w:szCs w:val="5"/>
                <w:color w:val="auto"/>
              </w:rPr>
            </w:pPr>
          </w:p>
        </w:tc>
      </w:tr>
      <w:tr>
        <w:trPr>
          <w:trHeight w:val="209"/>
        </w:trPr>
        <w:tc>
          <w:tcPr>
            <w:tcW w:w="20" w:type="dxa"/>
            <w:vAlign w:val="bottom"/>
          </w:tcPr>
          <w:p>
            <w:pPr>
              <w:spacing w:after="0"/>
              <w:rPr>
                <w:sz w:val="18"/>
                <w:szCs w:val="18"/>
                <w:color w:val="auto"/>
              </w:rPr>
            </w:pPr>
          </w:p>
        </w:tc>
        <w:tc>
          <w:tcPr>
            <w:tcW w:w="4240" w:type="dxa"/>
            <w:vAlign w:val="bottom"/>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Ετήσια επίπτωση του κόστους (*)</w:t>
            </w:r>
          </w:p>
        </w:tc>
        <w:tc>
          <w:tcPr>
            <w:tcW w:w="5760" w:type="dxa"/>
            <w:vAlign w:val="bottom"/>
          </w:tcPr>
          <w:p>
            <w:pPr xmlns:w="http://schemas.openxmlformats.org/wordprocessingml/2006/main">
              <w:jc w:val="right"/>
              <w:ind w:right="2090"/>
              <w:spacing w:after="0"/>
              <w:rPr>
                <w:sz w:val="20"/>
                <w:szCs w:val="20"/>
                <w:color w:val="auto"/>
              </w:rPr>
            </w:pPr>
            <w:r>
              <w:rPr xmlns:w="http://schemas.openxmlformats.org/wordprocessingml/2006/main">
                <w:rFonts w:ascii="Arial" w:cs="Arial" w:eastAsia="Arial" w:hAnsi="Arial"/>
                <w:sz w:val="14"/>
                <w:szCs w:val="14"/>
                <w:color w:val="5B6770"/>
              </w:rPr>
              <w:t xml:space="preserve">-0,99%</w:t>
            </w:r>
          </w:p>
        </w:tc>
        <w:tc>
          <w:tcPr>
            <w:tcW w:w="40" w:type="dxa"/>
            <w:vAlign w:val="bottom"/>
          </w:tcPr>
          <w:p>
            <w:pPr>
              <w:spacing w:after="0"/>
              <w:rPr>
                <w:sz w:val="18"/>
                <w:szCs w:val="18"/>
                <w:color w:val="auto"/>
              </w:rPr>
            </w:pPr>
          </w:p>
        </w:tc>
      </w:tr>
    </w:tbl>
    <w:p>
      <w:pPr>
        <w:spacing w:after="0" w:line="57" w:lineRule="exact"/>
        <w:rPr>
          <w:sz w:val="20"/>
          <w:szCs w:val="20"/>
          <w:color w:val="auto"/>
        </w:rPr>
      </w:pPr>
    </w:p>
    <w:p>
      <w:pPr xmlns:w="http://schemas.openxmlformats.org/wordprocessingml/2006/main">
        <w:jc w:val="both"/>
        <w:ind w:left="20"/>
        <w:spacing w:after="0" w:line="265" w:lineRule="auto"/>
        <w:rPr>
          <w:sz w:val="20"/>
          <w:szCs w:val="20"/>
          <w:color w:val="auto"/>
        </w:rPr>
      </w:pPr>
      <w:r>
        <w:rPr xmlns:w="http://schemas.openxmlformats.org/wordprocessingml/2006/main">
          <w:rFonts w:ascii="Arial" w:cs="Arial" w:eastAsia="Arial" w:hAnsi="Arial"/>
          <w:sz w:val="14"/>
          <w:szCs w:val="14"/>
          <w:color w:val="5B6770"/>
        </w:rPr>
        <w:t xml:space="preserve">(*) Αυτό δείχνει πώς το κόστος μειώνει την επιστροφή σας κάθε χρόνο κατά τη διάρκεια της περιόδου αναμονής.</w:t>
      </w:r>
      <w:r>
        <w:rPr xmlns:w="http://schemas.openxmlformats.org/wordprocessingml/2006/main">
          <w:rFonts w:ascii="Arial" w:cs="Arial" w:eastAsia="Arial" w:hAnsi="Arial"/>
          <w:sz w:val="14"/>
          <w:szCs w:val="14"/>
          <w:color w:val="5B6770"/>
        </w:rPr>
        <w:t xml:space="preserve"> Για παράδειγμα, δείχνει ότι αν βγείτε στο τέλος της συνιστώμενης περιόδου αναμονής, η μέση απόδοση ανά έτος προβλέπεται να είναι -2,14% πριν το κόστος και -3,13% μετά το κόστος.</w:t>
      </w:r>
    </w:p>
    <w:p>
      <w:pPr>
        <w:spacing w:after="0" w:line="49"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0"/>
          <w:szCs w:val="20"/>
          <w:b w:val="1"/>
          <w:bCs w:val="1"/>
          <w:color w:val="5B6770"/>
        </w:rPr>
        <w:t xml:space="preserve">Σύνθεση των εξόδων</w:t>
      </w:r>
    </w:p>
    <w:p>
      <w:pPr>
        <w:spacing w:after="0" w:line="86"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Ο παρακάτω πίνακας δείχνει:</w:t>
      </w:r>
    </w:p>
    <w:p>
      <w:pPr>
        <w:spacing w:after="0" w:line="67" w:lineRule="exact"/>
        <w:rPr>
          <w:sz w:val="20"/>
          <w:szCs w:val="20"/>
          <w:color w:val="auto"/>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Ο αντίκτυπος κάθε έτους των διαφόρων τύπων δαπανών στην απόδοση της επένδυσης που μπορεί να πάρετε στο τέλος της συνιστώμενης περιόδου εκμετάλλευσης.</w:t>
      </w:r>
    </w:p>
    <w:p>
      <w:pPr>
        <w:spacing w:after="0" w:line="67" w:lineRule="exact"/>
        <w:rPr>
          <w:rFonts w:ascii="Arial" w:cs="Arial" w:eastAsia="Arial" w:hAnsi="Arial"/>
          <w:sz w:val="14"/>
          <w:szCs w:val="14"/>
          <w:color w:val="5B6770"/>
        </w:rPr>
      </w:pPr>
    </w:p>
    <w:p>
      <w:pPr xmlns:w="http://schemas.openxmlformats.org/wordprocessingml/2006/main">
        <w:ind w:left="140" w:hanging="127"/>
        <w:spacing w:after="0"/>
        <w:tabs>
          <w:tab w:leader="none" w:pos="140" w:val="left"/>
        </w:tabs>
        <w:numPr>
          <w:ilvl w:val="0"/>
          <w:numId w:val="3"/>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Η σημασία των διαφόρων κατηγοριών δαπανών</w:t>
      </w:r>
    </w:p>
    <w:p>
      <w:pPr>
        <w:spacing w:after="0" w:line="80" w:lineRule="exact"/>
        <w:rPr>
          <w:sz w:val="20"/>
          <w:szCs w:val="20"/>
          <w:color w:val="auto"/>
        </w:rPr>
      </w:pPr>
    </w:p>
    <w:tbl>
      <w:tblPr>
        <w:tblLayout w:type="fixed"/>
        <w:tblInd w:w="10" w:type="dxa"/>
        <w:tblCellMar>
          <w:top w:w="0" w:type="dxa"/>
          <w:left w:w="0" w:type="dxa"/>
          <w:bottom w:w="0" w:type="dxa"/>
          <w:right w:w="0" w:type="dxa"/>
        </w:tblCellMar>
      </w:tblPr>
      <w:tr>
        <w:trPr>
          <w:trHeight w:val="230"/>
        </w:trPr>
        <w:tc>
          <w:tcPr>
            <w:tcW w:w="244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Εφάπαξ κόστος κατά την είσοδο ή την έξοδο</w:t>
            </w:r>
          </w:p>
        </w:tc>
        <w:tc>
          <w:tcPr>
            <w:tcW w:w="5220" w:type="dxa"/>
            <w:vAlign w:val="bottom"/>
            <w:tcBorders>
              <w:right w:val="single" w:sz="8" w:color="5B6770"/>
            </w:tcBorders>
            <w:shd w:val="clear" w:color="auto" w:fill="5B6770"/>
          </w:tcPr>
          <w:p>
            <w:pPr>
              <w:spacing w:after="0"/>
              <w:rPr>
                <w:sz w:val="19"/>
                <w:szCs w:val="19"/>
                <w:color w:val="auto"/>
              </w:rPr>
            </w:pP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Κόστος εισόδου</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Δεν χρεώνουμε ένα τέλος εισόδου όταν αγοράζεται με την ανταλλαγή.</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0,00 $</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bottom w:val="single" w:sz="8" w:color="5B6770"/>
              <w:right w:val="single" w:sz="8" w:color="5B6770"/>
            </w:tcBorders>
          </w:tcPr>
          <w:p>
            <w:pPr>
              <w:spacing w:after="0"/>
              <w:rPr>
                <w:sz w:val="5"/>
                <w:szCs w:val="5"/>
                <w:color w:val="auto"/>
              </w:rPr>
            </w:pPr>
          </w:p>
        </w:tc>
        <w:tc>
          <w:tcPr>
            <w:tcW w:w="5220" w:type="dxa"/>
            <w:vAlign w:val="bottom"/>
            <w:tcBorders>
              <w:bottom w:val="single" w:sz="8" w:color="5B6770"/>
              <w:right w:val="single" w:sz="8" w:color="5B6770"/>
            </w:tcBorders>
          </w:tcPr>
          <w:p>
            <w:pPr>
              <w:spacing w:after="0"/>
              <w:rPr>
                <w:sz w:val="5"/>
                <w:szCs w:val="5"/>
                <w:color w:val="auto"/>
              </w:rPr>
            </w:pPr>
          </w:p>
        </w:tc>
        <w:tc>
          <w:tcPr>
            <w:tcW w:w="240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10"/>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Δαπάνες εξόδου</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Δεν χρεώνουμε τέλος εξόδου όταν πωλείται σε ανταλλαγή.</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0,00 $</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right w:val="single" w:sz="8" w:color="5B6770"/>
            </w:tcBorders>
          </w:tcPr>
          <w:p>
            <w:pPr>
              <w:spacing w:after="0"/>
              <w:rPr>
                <w:sz w:val="5"/>
                <w:szCs w:val="5"/>
                <w:color w:val="auto"/>
              </w:rPr>
            </w:pPr>
          </w:p>
        </w:tc>
        <w:tc>
          <w:tcPr>
            <w:tcW w:w="5220" w:type="dxa"/>
            <w:vAlign w:val="bottom"/>
            <w:tcBorders>
              <w:right w:val="single" w:sz="8" w:color="5B6770"/>
            </w:tcBorders>
          </w:tcPr>
          <w:p>
            <w:pPr>
              <w:spacing w:after="0"/>
              <w:rPr>
                <w:sz w:val="5"/>
                <w:szCs w:val="5"/>
                <w:color w:val="auto"/>
              </w:rPr>
            </w:pPr>
          </w:p>
        </w:tc>
        <w:tc>
          <w:tcPr>
            <w:tcW w:w="2400" w:type="dxa"/>
            <w:vAlign w:val="bottom"/>
            <w:tcBorders>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r>
        <w:trPr>
          <w:trHeight w:val="230"/>
        </w:trPr>
        <w:tc>
          <w:tcPr>
            <w:tcW w:w="2440" w:type="dxa"/>
            <w:vAlign w:val="bottom"/>
            <w:tcBorders>
              <w:left w:val="single" w:sz="8" w:color="5B6770"/>
              <w:right w:val="single" w:sz="8" w:color="5B6770"/>
            </w:tcBorders>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Τρέχουσες δαπάνες που αναλαμβάνονται ετησίως</w:t>
            </w:r>
          </w:p>
        </w:tc>
        <w:tc>
          <w:tcPr>
            <w:tcW w:w="5220" w:type="dxa"/>
            <w:vAlign w:val="bottom"/>
            <w:tcBorders>
              <w:right w:val="single" w:sz="8" w:color="5B6770"/>
            </w:tcBorders>
            <w:shd w:val="clear" w:color="auto" w:fill="5B6770"/>
          </w:tcPr>
          <w:p>
            <w:pPr>
              <w:spacing w:after="0"/>
              <w:rPr>
                <w:sz w:val="19"/>
                <w:szCs w:val="19"/>
                <w:color w:val="auto"/>
              </w:rPr>
            </w:pP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162"/>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Έξοδα διαχείρισης και λοιπά</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w w:val="97"/>
              </w:rPr>
              <w:t xml:space="preserve">0,54% της αξίας της επένδυσής σας ανά έτος.</w:t>
            </w:r>
            <w:r>
              <w:rPr xmlns:w="http://schemas.openxmlformats.org/wordprocessingml/2006/main">
                <w:rFonts w:ascii="Arial" w:cs="Arial" w:eastAsia="Arial" w:hAnsi="Arial"/>
                <w:sz w:val="14"/>
                <w:szCs w:val="14"/>
                <w:color w:val="5B6770"/>
                <w:w w:val="97"/>
              </w:rPr>
              <w:t xml:space="preserve"> Αυτή είναι μια εκτίμηση με βάση την πραγματική</w:t>
            </w:r>
          </w:p>
        </w:tc>
        <w:tc>
          <w:tcPr>
            <w:tcW w:w="2400" w:type="dxa"/>
            <w:vAlign w:val="bottom"/>
            <w:tcBorders>
              <w:right w:val="single" w:sz="8" w:color="5B6770"/>
            </w:tcBorders>
            <w:vMerge w:val="restart"/>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54,00 $</w:t>
            </w:r>
          </w:p>
        </w:tc>
        <w:tc>
          <w:tcPr>
            <w:tcW w:w="0" w:type="dxa"/>
            <w:vAlign w:val="bottom"/>
          </w:tcPr>
          <w:p>
            <w:pPr>
              <w:spacing w:after="0"/>
              <w:rPr>
                <w:sz w:val="1"/>
                <w:szCs w:val="1"/>
                <w:color w:val="auto"/>
              </w:rPr>
            </w:pPr>
          </w:p>
        </w:tc>
      </w:tr>
      <w:tr>
        <w:trPr>
          <w:trHeight w:val="87"/>
        </w:trPr>
        <w:tc>
          <w:tcPr>
            <w:tcW w:w="2440" w:type="dxa"/>
            <w:vAlign w:val="bottom"/>
            <w:tcBorders>
              <w:left w:val="single" w:sz="8" w:color="5B6770"/>
              <w:right w:val="single" w:sz="8" w:color="5B6770"/>
            </w:tcBorders>
            <w:vMerge w:val="restart"/>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διοικητικές ή λειτουργικές δαπάνες</w:t>
            </w:r>
          </w:p>
        </w:tc>
        <w:tc>
          <w:tcPr>
            <w:tcW w:w="5220" w:type="dxa"/>
            <w:vAlign w:val="bottom"/>
            <w:tcBorders>
              <w:right w:val="single" w:sz="8" w:color="5B6770"/>
            </w:tcBorders>
            <w:vMerge w:val="restart"/>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δαπάνες κατά το τελευταίο έτος.</w:t>
            </w:r>
          </w:p>
        </w:tc>
        <w:tc>
          <w:tcPr>
            <w:tcW w:w="2400" w:type="dxa"/>
            <w:vAlign w:val="bottom"/>
            <w:tcBorders>
              <w:right w:val="single" w:sz="8" w:color="5B6770"/>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3"/>
        </w:trPr>
        <w:tc>
          <w:tcPr>
            <w:tcW w:w="2440" w:type="dxa"/>
            <w:vAlign w:val="bottom"/>
            <w:tcBorders>
              <w:left w:val="single" w:sz="8" w:color="5B6770"/>
              <w:bottom w:val="single" w:sz="8" w:color="5B6770"/>
              <w:right w:val="single" w:sz="8" w:color="5B6770"/>
            </w:tcBorders>
            <w:vMerge w:val="continue"/>
          </w:tcPr>
          <w:p>
            <w:pPr>
              <w:spacing w:after="0"/>
              <w:rPr>
                <w:sz w:val="7"/>
                <w:szCs w:val="7"/>
                <w:color w:val="auto"/>
              </w:rPr>
            </w:pPr>
          </w:p>
        </w:tc>
        <w:tc>
          <w:tcPr>
            <w:tcW w:w="5220" w:type="dxa"/>
            <w:vAlign w:val="bottom"/>
            <w:tcBorders>
              <w:bottom w:val="single" w:sz="8" w:color="5B6770"/>
              <w:right w:val="single" w:sz="8" w:color="5B6770"/>
            </w:tcBorders>
            <w:vMerge w:val="continue"/>
          </w:tcPr>
          <w:p>
            <w:pPr>
              <w:spacing w:after="0"/>
              <w:rPr>
                <w:sz w:val="7"/>
                <w:szCs w:val="7"/>
                <w:color w:val="auto"/>
              </w:rPr>
            </w:pPr>
          </w:p>
        </w:tc>
        <w:tc>
          <w:tcPr>
            <w:tcW w:w="2400" w:type="dxa"/>
            <w:vAlign w:val="bottom"/>
            <w:tcBorders>
              <w:bottom w:val="single" w:sz="8" w:color="5B6770"/>
              <w:right w:val="single" w:sz="8" w:color="5B6770"/>
            </w:tcBorders>
          </w:tcPr>
          <w:p>
            <w:pPr>
              <w:spacing w:after="0"/>
              <w:rPr>
                <w:sz w:val="7"/>
                <w:szCs w:val="7"/>
                <w:color w:val="auto"/>
              </w:rPr>
            </w:pPr>
          </w:p>
        </w:tc>
        <w:tc>
          <w:tcPr>
            <w:tcW w:w="0" w:type="dxa"/>
            <w:vAlign w:val="bottom"/>
          </w:tcPr>
          <w:p>
            <w:pPr>
              <w:spacing w:after="0"/>
              <w:rPr>
                <w:sz w:val="1"/>
                <w:szCs w:val="1"/>
                <w:color w:val="auto"/>
              </w:rPr>
            </w:pPr>
          </w:p>
        </w:tc>
      </w:tr>
      <w:tr>
        <w:trPr>
          <w:trHeight w:val="147"/>
        </w:trPr>
        <w:tc>
          <w:tcPr>
            <w:tcW w:w="2440" w:type="dxa"/>
            <w:vAlign w:val="bottom"/>
            <w:tcBorders>
              <w:left w:val="single" w:sz="8" w:color="5B6770"/>
              <w:right w:val="single" w:sz="8" w:color="5B6770"/>
            </w:tcBorders>
          </w:tcPr>
          <w:p>
            <w:pPr>
              <w:spacing w:after="0"/>
              <w:rPr>
                <w:sz w:val="12"/>
                <w:szCs w:val="12"/>
                <w:color w:val="auto"/>
              </w:rPr>
            </w:pPr>
          </w:p>
        </w:tc>
        <w:tc>
          <w:tcPr>
            <w:tcW w:w="5220" w:type="dxa"/>
            <w:vAlign w:val="bottom"/>
            <w:tcBorders>
              <w:right w:val="single" w:sz="8" w:color="5B6770"/>
            </w:tcBorders>
          </w:tcPr>
          <w:p>
            <w:pPr xmlns:w="http://schemas.openxmlformats.org/wordprocessingml/2006/main">
              <w:ind w:left="120"/>
              <w:spacing w:after="0" w:line="147" w:lineRule="exact"/>
              <w:rPr>
                <w:sz w:val="20"/>
                <w:szCs w:val="20"/>
                <w:color w:val="auto"/>
              </w:rPr>
            </w:pPr>
            <w:r>
              <w:rPr xmlns:w="http://schemas.openxmlformats.org/wordprocessingml/2006/main">
                <w:rFonts w:ascii="Arial" w:cs="Arial" w:eastAsia="Arial" w:hAnsi="Arial"/>
                <w:sz w:val="14"/>
                <w:szCs w:val="14"/>
                <w:color w:val="5B6770"/>
              </w:rPr>
              <w:t xml:space="preserve">0,45% της αξίας της επένδυσής σας ανά έτος.</w:t>
            </w:r>
            <w:r>
              <w:rPr xmlns:w="http://schemas.openxmlformats.org/wordprocessingml/2006/main">
                <w:rFonts w:ascii="Arial" w:cs="Arial" w:eastAsia="Arial" w:hAnsi="Arial"/>
                <w:sz w:val="14"/>
                <w:szCs w:val="14"/>
                <w:color w:val="5B6770"/>
              </w:rPr>
              <w:t xml:space="preserve"> Αυτό αποτελεί εκτίμηση του κόστους</w:t>
            </w:r>
          </w:p>
        </w:tc>
        <w:tc>
          <w:tcPr>
            <w:tcW w:w="2400" w:type="dxa"/>
            <w:vAlign w:val="bottom"/>
            <w:tcBorders>
              <w:right w:val="single" w:sz="8" w:color="5B6770"/>
            </w:tcBorders>
          </w:tcPr>
          <w:p>
            <w:pPr>
              <w:spacing w:after="0"/>
              <w:rPr>
                <w:sz w:val="12"/>
                <w:szCs w:val="12"/>
                <w:color w:val="auto"/>
              </w:rPr>
            </w:pPr>
          </w:p>
        </w:tc>
        <w:tc>
          <w:tcPr>
            <w:tcW w:w="0" w:type="dxa"/>
            <w:vAlign w:val="bottom"/>
          </w:tcPr>
          <w:p>
            <w:pPr>
              <w:spacing w:after="0"/>
              <w:rPr>
                <w:sz w:val="1"/>
                <w:szCs w:val="1"/>
                <w:color w:val="auto"/>
              </w:rPr>
            </w:pPr>
          </w:p>
        </w:tc>
      </w:tr>
      <w:tr>
        <w:trPr>
          <w:trHeight w:val="168"/>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Κόστος συναλλαγής</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πραγματοποιούνται όταν αγοράζουμε και πωλούμε τις υποκείμενες επενδύσεις για το προϊόν.</w:t>
            </w:r>
            <w:r>
              <w:rPr xmlns:w="http://schemas.openxmlformats.org/wordprocessingml/2006/main">
                <w:rFonts w:ascii="Arial" w:cs="Arial" w:eastAsia="Arial" w:hAnsi="Arial"/>
                <w:sz w:val="14"/>
                <w:szCs w:val="14"/>
                <w:color w:val="5B6770"/>
              </w:rPr>
              <w:t xml:space="preserve"> Η</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45,00 $</w:t>
            </w:r>
          </w:p>
        </w:tc>
        <w:tc>
          <w:tcPr>
            <w:tcW w:w="0" w:type="dxa"/>
            <w:vAlign w:val="bottom"/>
          </w:tcPr>
          <w:p>
            <w:pPr>
              <w:spacing w:after="0"/>
              <w:rPr>
                <w:sz w:val="1"/>
                <w:szCs w:val="1"/>
                <w:color w:val="auto"/>
              </w:rPr>
            </w:pPr>
          </w:p>
        </w:tc>
      </w:tr>
      <w:tr>
        <w:trPr>
          <w:trHeight w:val="169"/>
        </w:trPr>
        <w:tc>
          <w:tcPr>
            <w:tcW w:w="2440" w:type="dxa"/>
            <w:vAlign w:val="bottom"/>
            <w:tcBorders>
              <w:left w:val="single" w:sz="8" w:color="5B6770"/>
              <w:right w:val="single" w:sz="8" w:color="5B6770"/>
            </w:tcBorders>
          </w:tcPr>
          <w:p>
            <w:pPr>
              <w:spacing w:after="0"/>
              <w:rPr>
                <w:sz w:val="14"/>
                <w:szCs w:val="14"/>
                <w:color w:val="auto"/>
              </w:rPr>
            </w:pP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το πραγματικό ποσό θα ποικίλει ανάλογα με το πόσο αγοράζουμε και πουλάμε.</w:t>
            </w:r>
          </w:p>
        </w:tc>
        <w:tc>
          <w:tcPr>
            <w:tcW w:w="2400" w:type="dxa"/>
            <w:vAlign w:val="bottom"/>
            <w:tcBorders>
              <w:right w:val="single" w:sz="8" w:color="5B6770"/>
            </w:tcBorders>
          </w:tcPr>
          <w:p>
            <w:pPr>
              <w:spacing w:after="0"/>
              <w:rPr>
                <w:sz w:val="14"/>
                <w:szCs w:val="14"/>
                <w:color w:val="auto"/>
              </w:rPr>
            </w:pPr>
          </w:p>
        </w:tc>
        <w:tc>
          <w:tcPr>
            <w:tcW w:w="0" w:type="dxa"/>
            <w:vAlign w:val="bottom"/>
          </w:tcPr>
          <w:p>
            <w:pPr>
              <w:spacing w:after="0"/>
              <w:rPr>
                <w:sz w:val="1"/>
                <w:szCs w:val="1"/>
                <w:color w:val="auto"/>
              </w:rPr>
            </w:pPr>
          </w:p>
        </w:tc>
      </w:tr>
      <w:tr>
        <w:trPr>
          <w:trHeight w:val="230"/>
        </w:trPr>
        <w:tc>
          <w:tcPr>
            <w:tcW w:w="7660" w:type="dxa"/>
            <w:vAlign w:val="bottom"/>
            <w:tcBorders>
              <w:left w:val="single" w:sz="8" w:color="5B6770"/>
              <w:right w:val="single" w:sz="8" w:color="5B6770"/>
            </w:tcBorders>
            <w:gridSpan w:val="2"/>
            <w:shd w:val="clear" w:color="auto" w:fill="5B6770"/>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Παρεμπίπτοντα έξοδα που αναλαμβάνονται υπό ειδικές συνθήκες</w:t>
            </w:r>
          </w:p>
        </w:tc>
        <w:tc>
          <w:tcPr>
            <w:tcW w:w="2400" w:type="dxa"/>
            <w:vAlign w:val="bottom"/>
            <w:tcBorders>
              <w:right w:val="single" w:sz="8" w:color="5B6770"/>
            </w:tcBorders>
            <w:shd w:val="clear" w:color="auto" w:fill="5B6770"/>
          </w:tcPr>
          <w:p>
            <w:pPr xmlns:w="http://schemas.openxmlformats.org/wordprocessingml/2006/main">
              <w:jc w:val="right"/>
              <w:ind w:right="450"/>
              <w:spacing w:after="0"/>
              <w:rPr>
                <w:sz w:val="20"/>
                <w:szCs w:val="20"/>
                <w:color w:val="auto"/>
              </w:rPr>
            </w:pPr>
            <w:r>
              <w:rPr xmlns:w="http://schemas.openxmlformats.org/wordprocessingml/2006/main">
                <w:rFonts w:ascii="Arial" w:cs="Arial" w:eastAsia="Arial" w:hAnsi="Arial"/>
                <w:sz w:val="14"/>
                <w:szCs w:val="14"/>
                <w:b w:val="1"/>
                <w:bCs w:val="1"/>
                <w:color w:val="FFFFFF"/>
              </w:rPr>
              <w:t xml:space="preserve">Αν βγείτε μετά από 1 έτος</w:t>
            </w:r>
          </w:p>
        </w:tc>
        <w:tc>
          <w:tcPr>
            <w:tcW w:w="0" w:type="dxa"/>
            <w:vAlign w:val="bottom"/>
          </w:tcPr>
          <w:p>
            <w:pPr>
              <w:spacing w:after="0"/>
              <w:rPr>
                <w:sz w:val="1"/>
                <w:szCs w:val="1"/>
                <w:color w:val="auto"/>
              </w:rPr>
            </w:pPr>
          </w:p>
        </w:tc>
      </w:tr>
      <w:tr>
        <w:trPr>
          <w:trHeight w:val="63"/>
        </w:trPr>
        <w:tc>
          <w:tcPr>
            <w:tcW w:w="2440" w:type="dxa"/>
            <w:vAlign w:val="bottom"/>
            <w:tcBorders>
              <w:left w:val="single" w:sz="8" w:color="5B6770"/>
              <w:right w:val="single" w:sz="8" w:color="5B6770"/>
            </w:tcBorders>
            <w:shd w:val="clear" w:color="auto" w:fill="5B6770"/>
          </w:tcPr>
          <w:p>
            <w:pPr>
              <w:spacing w:after="0"/>
              <w:rPr>
                <w:sz w:val="5"/>
                <w:szCs w:val="5"/>
                <w:color w:val="auto"/>
              </w:rPr>
            </w:pPr>
          </w:p>
        </w:tc>
        <w:tc>
          <w:tcPr>
            <w:tcW w:w="5220" w:type="dxa"/>
            <w:vAlign w:val="bottom"/>
            <w:tcBorders>
              <w:right w:val="single" w:sz="8" w:color="5B6770"/>
            </w:tcBorders>
            <w:shd w:val="clear" w:color="auto" w:fill="5B6770"/>
          </w:tcPr>
          <w:p>
            <w:pPr>
              <w:spacing w:after="0"/>
              <w:rPr>
                <w:sz w:val="5"/>
                <w:szCs w:val="5"/>
                <w:color w:val="auto"/>
              </w:rPr>
            </w:pPr>
          </w:p>
        </w:tc>
        <w:tc>
          <w:tcPr>
            <w:tcW w:w="2400" w:type="dxa"/>
            <w:vAlign w:val="bottom"/>
            <w:tcBorders>
              <w:right w:val="single" w:sz="8" w:color="5B6770"/>
            </w:tcBorders>
            <w:shd w:val="clear" w:color="auto" w:fill="5B6770"/>
          </w:tcPr>
          <w:p>
            <w:pPr>
              <w:spacing w:after="0"/>
              <w:rPr>
                <w:sz w:val="5"/>
                <w:szCs w:val="5"/>
                <w:color w:val="auto"/>
              </w:rPr>
            </w:pPr>
          </w:p>
        </w:tc>
        <w:tc>
          <w:tcPr>
            <w:tcW w:w="0" w:type="dxa"/>
            <w:vAlign w:val="bottom"/>
          </w:tcPr>
          <w:p>
            <w:pPr>
              <w:spacing w:after="0"/>
              <w:rPr>
                <w:sz w:val="1"/>
                <w:szCs w:val="1"/>
                <w:color w:val="auto"/>
              </w:rPr>
            </w:pPr>
          </w:p>
        </w:tc>
      </w:tr>
      <w:tr>
        <w:trPr>
          <w:trHeight w:val="225"/>
        </w:trPr>
        <w:tc>
          <w:tcPr>
            <w:tcW w:w="2440" w:type="dxa"/>
            <w:vAlign w:val="bottom"/>
            <w:tcBorders>
              <w:left w:val="single" w:sz="8" w:color="5B6770"/>
              <w:right w:val="single" w:sz="8" w:color="5B6770"/>
            </w:tcBorders>
          </w:tcPr>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b w:val="1"/>
                <w:bCs w:val="1"/>
                <w:color w:val="5B6770"/>
              </w:rPr>
              <w:t xml:space="preserve">Τέλη εκτέλεσης</w:t>
            </w:r>
          </w:p>
        </w:tc>
        <w:tc>
          <w:tcPr>
            <w:tcW w:w="5220" w:type="dxa"/>
            <w:vAlign w:val="bottom"/>
            <w:tcBorders>
              <w:right w:val="single" w:sz="8" w:color="5B6770"/>
            </w:tcBorders>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4"/>
                <w:szCs w:val="14"/>
                <w:color w:val="5B6770"/>
              </w:rPr>
              <w:t xml:space="preserve">Δεν υπάρχει χρέωση απόδοσης για αυτό το προϊόν</w:t>
            </w:r>
          </w:p>
        </w:tc>
        <w:tc>
          <w:tcPr>
            <w:tcW w:w="2400" w:type="dxa"/>
            <w:vAlign w:val="bottom"/>
            <w:tcBorders>
              <w:right w:val="single" w:sz="8" w:color="5B6770"/>
            </w:tcBorders>
          </w:tcPr>
          <w:p>
            <w:pPr xmlns:w="http://schemas.openxmlformats.org/wordprocessingml/2006/main">
              <w:jc w:val="right"/>
              <w:ind w:right="810"/>
              <w:spacing w:after="0"/>
              <w:rPr>
                <w:sz w:val="20"/>
                <w:szCs w:val="20"/>
                <w:color w:val="auto"/>
              </w:rPr>
            </w:pPr>
            <w:r>
              <w:rPr xmlns:w="http://schemas.openxmlformats.org/wordprocessingml/2006/main">
                <w:rFonts w:ascii="Arial" w:cs="Arial" w:eastAsia="Arial" w:hAnsi="Arial"/>
                <w:sz w:val="14"/>
                <w:szCs w:val="14"/>
                <w:color w:val="5B6770"/>
              </w:rPr>
              <w:t xml:space="preserve">0,00 $</w:t>
            </w:r>
          </w:p>
        </w:tc>
        <w:tc>
          <w:tcPr>
            <w:tcW w:w="0" w:type="dxa"/>
            <w:vAlign w:val="bottom"/>
          </w:tcPr>
          <w:p>
            <w:pPr>
              <w:spacing w:after="0"/>
              <w:rPr>
                <w:sz w:val="1"/>
                <w:szCs w:val="1"/>
                <w:color w:val="auto"/>
              </w:rPr>
            </w:pPr>
          </w:p>
        </w:tc>
      </w:tr>
      <w:tr>
        <w:trPr>
          <w:trHeight w:val="58"/>
        </w:trPr>
        <w:tc>
          <w:tcPr>
            <w:tcW w:w="2440" w:type="dxa"/>
            <w:vAlign w:val="bottom"/>
            <w:tcBorders>
              <w:left w:val="single" w:sz="8" w:color="5B6770"/>
              <w:bottom w:val="single" w:sz="8" w:color="5B6770"/>
              <w:right w:val="single" w:sz="8" w:color="5B6770"/>
            </w:tcBorders>
          </w:tcPr>
          <w:p>
            <w:pPr>
              <w:spacing w:after="0"/>
              <w:rPr>
                <w:sz w:val="5"/>
                <w:szCs w:val="5"/>
                <w:color w:val="auto"/>
              </w:rPr>
            </w:pPr>
          </w:p>
        </w:tc>
        <w:tc>
          <w:tcPr>
            <w:tcW w:w="5220" w:type="dxa"/>
            <w:vAlign w:val="bottom"/>
            <w:tcBorders>
              <w:bottom w:val="single" w:sz="8" w:color="5B6770"/>
              <w:right w:val="single" w:sz="8" w:color="5B6770"/>
            </w:tcBorders>
          </w:tcPr>
          <w:p>
            <w:pPr>
              <w:spacing w:after="0"/>
              <w:rPr>
                <w:sz w:val="5"/>
                <w:szCs w:val="5"/>
                <w:color w:val="auto"/>
              </w:rPr>
            </w:pPr>
          </w:p>
        </w:tc>
        <w:tc>
          <w:tcPr>
            <w:tcW w:w="2400" w:type="dxa"/>
            <w:vAlign w:val="bottom"/>
            <w:tcBorders>
              <w:bottom w:val="single" w:sz="8" w:color="5B6770"/>
              <w:right w:val="single" w:sz="8" w:color="5B6770"/>
            </w:tcBorders>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104775</wp:posOffset>
                </wp:positionV>
                <wp:extent cx="6359525" cy="18288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3" o:spid="_x0000_s1048" style="position:absolute;margin-left:0.6pt;margin-top:8.2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-1633220</wp:posOffset>
                </wp:positionV>
                <wp:extent cx="0" cy="18415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415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128.5999pt" to="382.4pt,-114.0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-1083310</wp:posOffset>
                </wp:positionV>
                <wp:extent cx="0" cy="18288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85.2999pt" to="382.4pt,-70.8999pt" o:allowincell="f" strokecolor="#FFFFFF" strokeweight="0.25pt"/>
            </w:pict>
          </mc:Fallback>
        </mc:AlternateContent>
        <mc:AlternateContent>
          <mc:Choice Requires="wps">
            <w:drawing>
              <wp:anchor simplePos="0" relativeHeight="251657728" behindDoc="1" locked="0" layoutInCell="0" allowOverlap="1">
                <wp:simplePos x="0" y="0"/>
                <wp:positionH relativeFrom="column">
                  <wp:posOffset>4856480</wp:posOffset>
                </wp:positionH>
                <wp:positionV relativeFrom="paragraph">
                  <wp:posOffset>-367030</wp:posOffset>
                </wp:positionV>
                <wp:extent cx="0" cy="18288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82880"/>
                        </a:xfrm>
                        <a:prstGeom prst="line">
                          <a:avLst/>
                        </a:prstGeom>
                        <a:solidFill>
                          <a:srgbClr val="FFFFFF"/>
                        </a:solidFill>
                        <a:ln w="3175">
                          <a:solidFill>
                            <a:srgbClr val="FFFFFF"/>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82.4pt,-28.8999pt" to="382.4pt,-14.4999pt" o:allowincell="f" strokecolor="#FFFFFF" strokeweight="0.25pt"/>
            </w:pict>
          </mc:Fallback>
        </mc:AlternateContent>
      </w:r>
    </w:p>
    <w:p>
      <w:pPr>
        <w:spacing w:after="0" w:line="162"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Πόσο καιρό θα πρέπει να το κρατήσω και μπορώ να βγάλω χρήματα νωρίς;</w:t>
      </w:r>
    </w:p>
    <w:p>
      <w:pPr>
        <w:spacing w:after="0" w:line="110" w:lineRule="exact"/>
        <w:rPr>
          <w:sz w:val="20"/>
          <w:szCs w:val="20"/>
          <w:color w:val="auto"/>
        </w:rPr>
      </w:pPr>
    </w:p>
    <w:p>
      <w:pPr xmlns:w="http://schemas.openxmlformats.org/wordprocessingml/2006/main">
        <w:jc w:val="both"/>
        <w:ind w:left="20"/>
        <w:spacing w:after="0" w:line="257" w:lineRule="auto"/>
        <w:rPr>
          <w:sz w:val="20"/>
          <w:szCs w:val="20"/>
          <w:color w:val="auto"/>
        </w:rPr>
      </w:pPr>
      <w:r>
        <w:rPr xmlns:w="http://schemas.openxmlformats.org/wordprocessingml/2006/main">
          <w:rFonts w:ascii="Arial" w:cs="Arial" w:eastAsia="Arial" w:hAnsi="Arial"/>
          <w:sz w:val="14"/>
          <w:szCs w:val="14"/>
          <w:color w:val="5B6770"/>
        </w:rPr>
        <w:t xml:space="preserve">Συνιστώμενη περίοδος διατήρησης:</w:t>
      </w:r>
      <w:r>
        <w:rPr xmlns:w="http://schemas.openxmlformats.org/wordprocessingml/2006/main">
          <w:rFonts w:ascii="Arial" w:cs="Arial" w:eastAsia="Arial" w:hAnsi="Arial"/>
          <w:sz w:val="14"/>
          <w:szCs w:val="14"/>
          <w:color w:val="5B6770"/>
        </w:rPr>
        <w:t xml:space="preserve"> 1 χρόνος.</w:t>
      </w:r>
      <w:r>
        <w:rPr xmlns:w="http://schemas.openxmlformats.org/wordprocessingml/2006/main">
          <w:rFonts w:ascii="Arial" w:cs="Arial" w:eastAsia="Arial" w:hAnsi="Arial"/>
          <w:sz w:val="14"/>
          <w:szCs w:val="14"/>
          <w:color w:val="5B6770"/>
        </w:rPr>
        <w:t xml:space="preserve"> Θα είστε σε θέση να πουλήσετε αυτό το προϊόν ανά πάσα στιγμή στα χρηματιστήρια όπου είναι εισηγμένο?</w:t>
      </w:r>
      <w:r>
        <w:rPr xmlns:w="http://schemas.openxmlformats.org/wordprocessingml/2006/main">
          <w:rFonts w:ascii="Arial" w:cs="Arial" w:eastAsia="Arial" w:hAnsi="Arial"/>
          <w:sz w:val="14"/>
          <w:szCs w:val="14"/>
          <w:color w:val="5B6770"/>
        </w:rPr>
        <w:t xml:space="preserve"> ωστόσο, δεν υπάρχει περίοδος υπαναχώρησης ή περίοδος ακύρωσης.</w:t>
      </w:r>
      <w:r>
        <w:rPr xmlns:w="http://schemas.openxmlformats.org/wordprocessingml/2006/main">
          <w:rFonts w:ascii="Arial" w:cs="Arial" w:eastAsia="Arial" w:hAnsi="Arial"/>
          <w:sz w:val="14"/>
          <w:szCs w:val="14"/>
          <w:color w:val="5B6770"/>
        </w:rPr>
        <w:t xml:space="preserve"> Η έξοδος από την αγορά πριν από τη συνιστώμενη περίοδο διατήρησης δεν συνεπάγεται επιβάρυνση εξόδου ή πρόστιμα ή ενδεχόμενες αμοιβές, ωστόσο θα προκαλέσει το προφίλ κινδύνου και απόδοσης του προϊόντος να είναι διαφορετικό από αυτό που αναφέρεται στο παρόν έγγραφο.</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7620</wp:posOffset>
                </wp:positionH>
                <wp:positionV relativeFrom="paragraph">
                  <wp:posOffset>39370</wp:posOffset>
                </wp:positionV>
                <wp:extent cx="6359525" cy="18288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7" o:spid="_x0000_s1052" style="position:absolute;margin-left:0.6pt;margin-top:3.1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Πώς μπορώ να παραπονεθώ;</w:t>
      </w:r>
    </w:p>
    <w:p>
      <w:pPr>
        <w:spacing w:after="0" w:line="110"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Σε περίπτωση τυχών απροσδόκητων προβλημάτων στην κατανόηση, εμπορία ή διαχείριση αυτού του προϊόντος, μη διστάσετε να επικοινωνήσετε απευθείας με το WiseTree.</w:t>
      </w:r>
    </w:p>
    <w:p>
      <w:pPr>
        <w:spacing w:after="0" w:line="7" w:lineRule="exact"/>
        <w:rPr>
          <w:sz w:val="20"/>
          <w:szCs w:val="20"/>
          <w:color w:val="auto"/>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Ταχυδρομική διεύθυνση:</w:t>
      </w:r>
      <w:r>
        <w:rPr xmlns:w="http://schemas.openxmlformats.org/wordprocessingml/2006/main">
          <w:rFonts w:ascii="Arial" w:cs="Arial" w:eastAsia="Arial" w:hAnsi="Arial"/>
          <w:sz w:val="14"/>
          <w:szCs w:val="14"/>
          <w:color w:val="5B6770"/>
        </w:rPr>
        <w:t xml:space="preserve"> WiseTree UK Limited, 16 Dufour’s Place, London W1F 7SP, Ηνωμένο Βασίλειο</w:t>
      </w:r>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Ιστοσελίδα:</w:t>
      </w:r>
      <w:r>
        <w:rPr xmlns:w="http://schemas.openxmlformats.org/wordprocessingml/2006/main">
          <w:rFonts w:ascii="Arial" w:cs="Arial" w:eastAsia="Arial" w:hAnsi="Arial"/>
          <w:sz w:val="14"/>
          <w:szCs w:val="14"/>
          <w:color w:val="0047BB"/>
        </w:rPr>
        <w:t xml:space="preserve"> </w:t>
      </w:r>
      <w:hyperlink r:id="rId23">
        <w:r>
          <w:rPr xmlns:w="http://schemas.openxmlformats.org/wordprocessingml/2006/main">
            <w:rFonts w:ascii="Arial" w:cs="Arial" w:eastAsia="Arial" w:hAnsi="Arial"/>
            <w:sz w:val="14"/>
            <w:szCs w:val="14"/>
            <w:u w:val="single" w:color="auto"/>
            <w:color w:val="0047BB"/>
          </w:rPr>
          <w:t xml:space="preserve">https://www.wisdomtree.eu</w:t>
        </w:r>
      </w:hyperlink>
    </w:p>
    <w:p>
      <w:pPr>
        <w:spacing w:after="0" w:line="7" w:lineRule="exact"/>
        <w:rPr>
          <w:rFonts w:ascii="Arial" w:cs="Arial" w:eastAsia="Arial" w:hAnsi="Arial"/>
          <w:sz w:val="14"/>
          <w:szCs w:val="14"/>
          <w:color w:val="5B6770"/>
        </w:rPr>
      </w:pPr>
    </w:p>
    <w:p>
      <w:pPr xmlns:w="http://schemas.openxmlformats.org/wordprocessingml/2006/main">
        <w:ind w:left="160" w:hanging="147"/>
        <w:spacing w:after="0"/>
        <w:tabs>
          <w:tab w:leader="none" w:pos="160" w:val="left"/>
        </w:tabs>
        <w:numPr>
          <w:ilvl w:val="0"/>
          <w:numId w:val="4"/>
        </w:numPr>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Ηλεκτρονικό ταχυδρομείο:</w:t>
      </w:r>
      <w:r>
        <w:rPr xmlns:w="http://schemas.openxmlformats.org/wordprocessingml/2006/main">
          <w:rFonts w:ascii="Arial" w:cs="Arial" w:eastAsia="Arial" w:hAnsi="Arial"/>
          <w:sz w:val="14"/>
          <w:szCs w:val="14"/>
          <w:color w:val="0047BB"/>
        </w:rPr>
        <w:t xml:space="preserve"> </w:t>
      </w:r>
      <w:hyperlink r:id="rId24">
        <w:r>
          <w:rPr xmlns:w="http://schemas.openxmlformats.org/wordprocessingml/2006/main">
            <w:rFonts w:ascii="Arial" w:cs="Arial" w:eastAsia="Arial" w:hAnsi="Arial"/>
            <w:sz w:val="14"/>
            <w:szCs w:val="14"/>
            <w:u w:val="single" w:color="auto"/>
            <w:color w:val="0047BB"/>
          </w:rPr>
          <w:t xml:space="preserve">europesupport@wisdomtree.com</w:t>
        </w:r>
      </w:hyperlink>
    </w:p>
    <w:p>
      <w:pPr>
        <w:spacing w:after="0" w:line="7" w:lineRule="exact"/>
        <w:rPr>
          <w:rFonts w:ascii="Arial" w:cs="Arial" w:eastAsia="Arial" w:hAnsi="Arial"/>
          <w:sz w:val="14"/>
          <w:szCs w:val="14"/>
          <w:color w:val="5B6770"/>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4"/>
          <w:szCs w:val="14"/>
          <w:color w:val="5B6770"/>
        </w:rPr>
        <w:t xml:space="preserve">Η WiseTree θα χειριστεί το αίτημά σας και θα σας δώσει σχόλια το συντομότερο δυνατόν.</w:t>
      </w:r>
    </w:p>
    <w:p>
      <w:pPr>
        <w:spacing w:after="0" w:line="20" w:lineRule="exact"/>
        <w:rPr>
          <w:rFonts w:ascii="Arial" w:cs="Arial" w:eastAsia="Arial" w:hAnsi="Arial"/>
          <w:sz w:val="14"/>
          <w:szCs w:val="14"/>
          <w:color w:val="5B6770"/>
        </w:rPr>
      </w:pPr>
      <w:r>
        <w:rPr>
          <w:rFonts w:ascii="Arial" w:cs="Arial" w:eastAsia="Arial" w:hAnsi="Arial"/>
          <w:sz w:val="14"/>
          <w:szCs w:val="14"/>
          <w:color w:val="5B6770"/>
        </w:rPr>
        <mc:AlternateContent>
          <mc:Choice Requires="wps">
            <w:drawing>
              <wp:anchor simplePos="0" relativeHeight="251657728" behindDoc="1" locked="0" layoutInCell="0" allowOverlap="1">
                <wp:simplePos x="0" y="0"/>
                <wp:positionH relativeFrom="column">
                  <wp:posOffset>7620</wp:posOffset>
                </wp:positionH>
                <wp:positionV relativeFrom="paragraph">
                  <wp:posOffset>51435</wp:posOffset>
                </wp:positionV>
                <wp:extent cx="6359525" cy="18288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359525" cy="182880"/>
                        </a:xfrm>
                        <a:prstGeom prst="rect">
                          <a:avLst/>
                        </a:prstGeom>
                        <a:solidFill>
                          <a:srgbClr val="5B6770"/>
                        </a:solidFill>
                      </wps:spPr>
                      <wps:bodyPr/>
                    </wps:wsp>
                  </a:graphicData>
                </a:graphic>
              </wp:anchor>
            </w:drawing>
          </mc:Choice>
          <mc:Fallback>
            <w:pict>
              <v:rect id="Shape 28" o:spid="_x0000_s1053" style="position:absolute;margin-left:0.6pt;margin-top:4.05pt;width:500.75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5B6770" stroked="f"/>
            </w:pict>
          </mc:Fallback>
        </mc:AlternateContent>
      </w:r>
    </w:p>
    <w:p>
      <w:pPr>
        <w:spacing w:after="0" w:line="79" w:lineRule="exact"/>
        <w:rPr>
          <w:rFonts w:ascii="Arial" w:cs="Arial" w:eastAsia="Arial" w:hAnsi="Arial"/>
          <w:sz w:val="14"/>
          <w:szCs w:val="14"/>
          <w:color w:val="5B6770"/>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Άλλες σχετικές πληροφορίες</w:t>
      </w:r>
    </w:p>
    <w:p>
      <w:pPr>
        <w:spacing w:after="0" w:line="110" w:lineRule="exact"/>
        <w:rPr>
          <w:rFonts w:ascii="Arial" w:cs="Arial" w:eastAsia="Arial" w:hAnsi="Arial"/>
          <w:sz w:val="14"/>
          <w:szCs w:val="14"/>
          <w:color w:val="5B6770"/>
        </w:rPr>
      </w:pPr>
    </w:p>
    <w:p>
      <w:pPr xmlns:w="http://schemas.openxmlformats.org/wordprocessingml/2006/main">
        <w:ind w:left="20" w:right="20"/>
        <w:spacing w:after="0" w:line="269" w:lineRule="auto"/>
        <w:rPr>
          <w:rFonts w:ascii="Arial" w:cs="Arial" w:eastAsia="Arial" w:hAnsi="Arial"/>
          <w:sz w:val="13"/>
          <w:szCs w:val="13"/>
          <w:color w:val="5B6770"/>
        </w:rPr>
      </w:pPr>
      <w:r>
        <w:rPr xmlns:w="http://schemas.openxmlformats.org/wordprocessingml/2006/main">
          <w:rFonts w:ascii="Arial" w:cs="Arial" w:eastAsia="Arial" w:hAnsi="Arial"/>
          <w:sz w:val="13"/>
          <w:szCs w:val="13"/>
          <w:color w:val="5B6770"/>
        </w:rPr>
        <w:t xml:space="preserve">Οι κίνδυνοι που εκτίθενται στο παρόν έγγραφο επισημαίνουν ορισμένους, αλλά όχι όλους, τους κινδύνους που ενέχουν οι επενδύσεις σε αυτό το προϊόν.</w:t>
      </w:r>
      <w:r>
        <w:rPr xmlns:w="http://schemas.openxmlformats.org/wordprocessingml/2006/main">
          <w:rFonts w:ascii="Arial" w:cs="Arial" w:eastAsia="Arial" w:hAnsi="Arial"/>
          <w:sz w:val="13"/>
          <w:szCs w:val="13"/>
          <w:color w:val="5B6770"/>
        </w:rPr>
        <w:t xml:space="preserve"> Πριν από τη λήψη οποιασδήποτε επενδυτικής απόφασης, θα πρέπει να ικανοποιήσετε τον εαυτό σας ότι κατανοείτε πλήρως τους κινδύνους που σχετίζονται με αυτό το προϊόν και να αναζητήσετε επαγγελματικές συμβουλές, όπως απαιτείται.</w:t>
      </w:r>
      <w:r>
        <w:rPr xmlns:w="http://schemas.openxmlformats.org/wordprocessingml/2006/main">
          <w:rFonts w:ascii="Arial" w:cs="Arial" w:eastAsia="Arial" w:hAnsi="Arial"/>
          <w:sz w:val="13"/>
          <w:szCs w:val="13"/>
          <w:color w:val="5B6770"/>
        </w:rPr>
        <w:t xml:space="preserve"> Οι πλήρεις όροι και προϋποθέσεις του προϊόντος καθορίζονται στο ενημερωτικό δελτίο που αφορά την έκδοση του προϊόντος, όπως συμπληρώνεται και τροποποιείται κατά διαστήματα.</w:t>
      </w:r>
      <w:r>
        <w:rPr xmlns:w="http://schemas.openxmlformats.org/wordprocessingml/2006/main">
          <w:rFonts w:ascii="Arial" w:cs="Arial" w:eastAsia="Arial" w:hAnsi="Arial"/>
          <w:sz w:val="13"/>
          <w:szCs w:val="13"/>
          <w:color w:val="5B6770"/>
        </w:rPr>
        <w:t xml:space="preserve"> Το ενημερωτικό δελτίο διατίθεται εδώ:</w:t>
      </w:r>
      <w:r>
        <w:rPr xmlns:w="http://schemas.openxmlformats.org/wordprocessingml/2006/main">
          <w:rFonts w:ascii="Arial" w:cs="Arial" w:eastAsia="Arial" w:hAnsi="Arial"/>
          <w:sz w:val="13"/>
          <w:szCs w:val="13"/>
          <w:color w:val="0047BB"/>
        </w:rPr>
        <w:t xml:space="preserve"> </w:t>
      </w:r>
      <w:hyperlink r:id="rId23">
        <w:r>
          <w:rPr xmlns:w="http://schemas.openxmlformats.org/wordprocessingml/2006/main">
            <w:rFonts w:ascii="Arial" w:cs="Arial" w:eastAsia="Arial" w:hAnsi="Arial"/>
            <w:sz w:val="13"/>
            <w:szCs w:val="13"/>
            <w:u w:val="single" w:color="auto"/>
            <w:color w:val="0047BB"/>
          </w:rPr>
          <w:t xml:space="preserve">https://www.wisdomtree.eu</w:t>
        </w:r>
      </w:hyperlink>
      <w:r>
        <w:rPr xmlns:w="http://schemas.openxmlformats.org/wordprocessingml/2006/main">
          <w:rFonts w:ascii="Arial" w:cs="Arial" w:eastAsia="Arial" w:hAnsi="Arial"/>
          <w:sz w:val="13"/>
          <w:szCs w:val="13"/>
          <w:color w:val="5B6770"/>
        </w:rPr>
        <w:t xml:space="preserve"> Αυτό το έγγραφο μπορεί να ενημερώνεται κατά διαστήματα.</w:t>
      </w:r>
      <w:r>
        <w:rPr xmlns:w="http://schemas.openxmlformats.org/wordprocessingml/2006/main">
          <w:rFonts w:ascii="Arial" w:cs="Arial" w:eastAsia="Arial" w:hAnsi="Arial"/>
          <w:sz w:val="13"/>
          <w:szCs w:val="13"/>
          <w:color w:val="5B6770"/>
        </w:rPr>
        <w:t xml:space="preserve"> Το πιο πρόσφατο έγγραφο βασικών πληροφοριών διατίθεται ηλεκτρονικά στη διεύθυνση </w:t>
      </w:r>
      <w:hyperlink r:id="rId25">
        <w:r>
          <w:rPr xmlns:w="http://schemas.openxmlformats.org/wordprocessingml/2006/main">
            <w:rFonts w:ascii="Arial" w:cs="Arial" w:eastAsia="Arial" w:hAnsi="Arial"/>
            <w:sz w:val="13"/>
            <w:szCs w:val="13"/>
            <w:u w:val="single" w:color="auto"/>
            <w:color w:val="0047BB"/>
          </w:rPr>
          <w:t xml:space="preserve">https://regdocs.wisdomtree.eu</w:t>
        </w:r>
      </w:hyperlink>
      <w:r>
        <w:rPr xmlns:w="http://schemas.openxmlformats.org/wordprocessingml/2006/main">
          <w:rFonts w:ascii="Arial" w:cs="Arial" w:eastAsia="Arial" w:hAnsi="Arial"/>
          <w:sz w:val="13"/>
          <w:szCs w:val="13"/>
          <w:color w:val="5B6770"/>
        </w:rPr>
        <w:t xml:space="preserve">.</w:t>
      </w:r>
    </w:p>
    <w:p>
      <w:pPr>
        <w:spacing w:after="0" w:line="2" w:lineRule="exact"/>
        <w:rPr>
          <w:sz w:val="20"/>
          <w:szCs w:val="20"/>
          <w:color w:val="auto"/>
        </w:rPr>
      </w:pPr>
    </w:p>
    <w:p>
      <w:pPr xmlns:w="http://schemas.openxmlformats.org/wordprocessingml/2006/main">
        <w:ind w:left="20"/>
        <w:spacing w:after="0"/>
        <w:rPr>
          <w:rFonts w:ascii="Arial" w:cs="Arial" w:eastAsia="Arial" w:hAnsi="Arial"/>
          <w:sz w:val="14"/>
          <w:szCs w:val="14"/>
          <w:color w:val="5B6770"/>
        </w:rPr>
      </w:pPr>
      <w:r>
        <w:rPr xmlns:w="http://schemas.openxmlformats.org/wordprocessingml/2006/main">
          <w:rFonts w:ascii="Arial" w:cs="Arial" w:eastAsia="Arial" w:hAnsi="Arial"/>
          <w:sz w:val="14"/>
          <w:szCs w:val="14"/>
          <w:color w:val="5B6770"/>
        </w:rPr>
        <w:t xml:space="preserve">Οι υπολογισμοί σεναρίων απόδοσης για αυτό το προϊόν διατίθενται στη διεύθυνση </w:t>
      </w:r>
      <w:hyperlink r:id="rId23">
        <w:r>
          <w:rPr xmlns:w="http://schemas.openxmlformats.org/wordprocessingml/2006/main">
            <w:rFonts w:ascii="Arial" w:cs="Arial" w:eastAsia="Arial" w:hAnsi="Arial"/>
            <w:sz w:val="14"/>
            <w:szCs w:val="14"/>
            <w:u w:val="single" w:color="auto"/>
            <w:color w:val="0047BB"/>
          </w:rPr>
          <w:t xml:space="preserve">https://www.wisdomtree.eu</w:t>
        </w:r>
      </w:hyperlink>
      <w:r>
        <w:rPr xmlns:w="http://schemas.openxmlformats.org/wordprocessingml/2006/main">
          <w:rFonts w:ascii="Arial" w:cs="Arial" w:eastAsia="Arial" w:hAnsi="Arial"/>
          <w:sz w:val="14"/>
          <w:szCs w:val="14"/>
          <w:color w:val="5B6770"/>
        </w:rPr>
        <w:t xml:space="preserve">.</w:t>
      </w:r>
    </w:p>
    <w:sectPr>
      <w:pgSz w:w="10800" w:h="15600" w:orient="portrait"/>
      <w:cols w:equalWidth="0" w:num="1">
        <w:col w:w="10040"/>
      </w:cols>
      <w:pgMar w:left="380" w:top="328" w:right="38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1CBBE25"/>
    <w:multiLevelType w:val="hybridMultilevel"/>
    <w:lvl w:ilvl="0">
      <w:lvlJc w:val="left"/>
      <w:lvlText w:val="+"/>
      <w:numFmt w:val="bullet"/>
      <w:start w:val="1"/>
    </w:lvl>
  </w:abstractNum>
  <w:abstractNum w:abstractNumId="1">
    <w:nsid w:val="16206679"/>
    <w:multiLevelType w:val="hybridMultilevel"/>
    <w:lvl w:ilvl="0">
      <w:lvlJc w:val="left"/>
      <w:lvlText w:val="%1."/>
      <w:numFmt w:val="decimal"/>
      <w:start w:val="1"/>
    </w:lvl>
  </w:abstractNum>
  <w:abstractNum w:abstractNumId="2">
    <w:nsid w:val="3A5D2A38"/>
    <w:multiLevelType w:val="hybridMultilevel"/>
    <w:lvl w:ilvl="0">
      <w:lvlJc w:val="left"/>
      <w:lvlText w:val="%1."/>
      <w:numFmt w:val="decimal"/>
      <w:start w:val="1"/>
    </w:lvl>
  </w:abstractNum>
  <w:abstractNum w:abstractNumId="3">
    <w:nsid w:val="2AF5B731"/>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image" Target="media/image7.png"/><Relationship Id="rId20" Type="http://schemas.openxmlformats.org/officeDocument/2006/relationships/image" Target="media/image8.png"/><Relationship Id="rId21" Type="http://schemas.openxmlformats.org/officeDocument/2006/relationships/image" Target="media/image9.png"/><Relationship Id="rId22" Type="http://schemas.openxmlformats.org/officeDocument/2006/relationships/image" Target="media/image10.jpeg"/><Relationship Id="rId13" Type="http://schemas.openxmlformats.org/officeDocument/2006/relationships/hyperlink" Target="https://www.wisdomtree.eu/" TargetMode="External"/><Relationship Id="rId23" Type="http://schemas.openxmlformats.org/officeDocument/2006/relationships/hyperlink" Target="https://www.wisdomtree.eu" TargetMode="External"/><Relationship Id="rId24" Type="http://schemas.openxmlformats.org/officeDocument/2006/relationships/hyperlink" Target="mailto:europesupport@wisdomtree.com" TargetMode="External"/><Relationship Id="rId25" Type="http://schemas.openxmlformats.org/officeDocument/2006/relationships/hyperlink" Target="https://regdocs.wisdomtree.eu"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2024-05-20T14:27:50Z</dcterms:created>
  <dcterms:modified xsi:type="dcterms:W3CDTF">2024-05-20T14:27:50Z</dcterms:modified>
</cp:coreProperties>
</file>