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417830</wp:posOffset>
                </wp:positionV>
                <wp:extent cx="6677025"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77025"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2.9pt;width:525.7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417830</wp:posOffset>
                </wp:positionV>
                <wp:extent cx="6581775"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581775"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2.9pt;width:518.25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916940</wp:posOffset>
                </wp:positionV>
                <wp:extent cx="669036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2.2pt" to="568.4pt,72.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1791970</wp:posOffset>
                </wp:positionV>
                <wp:extent cx="669036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1.1pt" to="568.4pt,141.1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3006725</wp:posOffset>
                </wp:positionV>
                <wp:extent cx="669036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36.75pt" to="568.4pt,236.7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3865880</wp:posOffset>
                </wp:positionV>
                <wp:extent cx="669036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4.4pt" to="568.4pt,304.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38200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38200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38200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692.4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Πληροφορίες κλειδιού</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Έγγραφο - Τυποποιημένες Επιλογές Συναλλάγματος (Σύντομη Κλήση)</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676390"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868680"/>
                        </a:xfrm>
                        <a:prstGeom prst="rect">
                          <a:avLst/>
                        </a:prstGeom>
                        <a:solidFill>
                          <a:srgbClr val="9CC2E5"/>
                        </a:solidFill>
                      </wps:spPr>
                      <wps:bodyPr/>
                    </wps:wsp>
                  </a:graphicData>
                </a:graphic>
              </wp:anchor>
            </w:drawing>
          </mc:Choice>
          <mc:Fallback>
            <w:pict>
              <v:rect id="Shape 10" o:spid="_x0000_s1035" style="position:absolute;margin-left:-4.8499pt;margin-top:2pt;width:525.7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Αντικείμενο</w:t>
      </w:r>
    </w:p>
    <w:p>
      <w:pPr>
        <w:spacing w:after="0" w:line="68" w:lineRule="exact"/>
        <w:rPr>
          <w:sz w:val="24"/>
          <w:szCs w:val="24"/>
          <w:color w:val="auto"/>
        </w:rPr>
      </w:pPr>
    </w:p>
    <w:p>
      <w:pPr xmlns:w="http://schemas.openxmlformats.org/wordprocessingml/2006/main">
        <w:ind w:right="1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Αυτό το έγγραφο σάς παρέχει βασικές πληροφορίες σχετικά με αυτό το επενδυτικό προϊόν.</w:t>
      </w:r>
      <w:r>
        <w:rPr xmlns:w="http://schemas.openxmlformats.org/wordprocessingml/2006/main">
          <w:rFonts w:ascii="Calibri" w:cs="Calibri" w:eastAsia="Calibri" w:hAnsi="Calibri"/>
          <w:sz w:val="22"/>
          <w:szCs w:val="22"/>
          <w:color w:val="auto"/>
        </w:rPr>
        <w:t xml:space="preserve"> Δεν είναι υλικό μάρκετινγκ.</w:t>
      </w:r>
      <w:r>
        <w:rPr xmlns:w="http://schemas.openxmlformats.org/wordprocessingml/2006/main">
          <w:rFonts w:ascii="Calibri" w:cs="Calibri" w:eastAsia="Calibri" w:hAnsi="Calibri"/>
          <w:sz w:val="22"/>
          <w:szCs w:val="22"/>
          <w:color w:val="auto"/>
        </w:rPr>
        <w:t xml:space="preserve"> Οι πληροφορίες απαιτούνται από το νόμο για να σας βοηθήσει να κατανοήσετε τη φύση, τους κινδύνους, το κόστος, τα πιθανά κέρδη και τις ζημίες αυτού του προϊόντος και να σας βοηθήσει να το συγκρίνετε με άλλα προϊόντα.</w:t>
      </w:r>
      <w:r>
        <w:rPr xmlns:w="http://schemas.openxmlformats.org/wordprocessingml/2006/main">
          <w:rFonts w:ascii="Calibri" w:cs="Calibri" w:eastAsia="Calibri" w:hAnsi="Calibri"/>
          <w:sz w:val="22"/>
          <w:szCs w:val="22"/>
          <w:color w:val="auto"/>
        </w:rPr>
        <w:t xml:space="preserve"> Αυτό είναι μόνο ένα έγγραφο στα Αγγλικά, δεν επιτρέπεται να μεταφραστεί σε άλλη γλώσσα.</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Προϊόν</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Τυποποιημένα Δικαιώματα Προαίρεσης Σε Ξένο Νόμισμα Η.Π.Α</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Η Εταιρεία Εκκαθάρισης Δικαιωμάτων προαίρεσης ("OCC") παρέχει το παρόν έγγραφο βάσει του κανονισμού της ΕΕ αριθ. 1286/2014 για τυποποιημένα δικαιώματα προαίρεσης σε συνάλλαγμα ("FX") (α/κ/α "εισηγμένα δικαιώματα προαίρεσης").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είναι εισηγμένα και αποτελούν αντικείμενο διαπραγμάτευσης σε χρηματιστήρια δικαιωμάτων προαίρεσης των ΗΠΑ που είναι εγγεγραμμένα στην Επιτροπή Κεφαλαιαγοράς των ΗΠΑ ("SEC") και εκδίδονται, εκκαθαρίζονται και διακανονίζονται από την OCC, έναν καταχωρημένο οργανισμό εκκαθάρισης της SEC.</w:t>
      </w:r>
      <w:r>
        <w:rPr xmlns:w="http://schemas.openxmlformats.org/wordprocessingml/2006/main">
          <w:rFonts w:ascii="Calibri" w:cs="Calibri" w:eastAsia="Calibri" w:hAnsi="Calibri"/>
          <w:sz w:val="22"/>
          <w:szCs w:val="22"/>
          <w:color w:val="auto"/>
        </w:rPr>
        <w:t xml:space="preserve"> Για περισσότερες πληροφορίες, συμπεριλαμβανομένων των στοιχείων επικοινωνίας για τις ανταλλαγές επιλογών των ΗΠΑ, οι επενδυτές μπορούν να επισκεφθούν τον ιστότοπο της OCC στη διεύθυνση</w:t>
      </w:r>
      <w:r>
        <w:rPr xmlns:w="http://schemas.openxmlformats.org/wordprocessingml/2006/main">
          <w:rFonts w:ascii="Calibri" w:cs="Calibri" w:eastAsia="Calibri" w:hAnsi="Calibri"/>
          <w:sz w:val="22"/>
          <w:szCs w:val="22"/>
          <w:u w:val="single" w:color="auto"/>
          <w:color w:val="0563C1"/>
        </w:rPr>
        <w:t xml:space="preserve"> www.theocc.com</w:t>
      </w:r>
      <w:r>
        <w:rPr xmlns:w="http://schemas.openxmlformats.org/wordprocessingml/2006/main">
          <w:rFonts w:ascii="Calibri" w:cs="Calibri" w:eastAsia="Calibri" w:hAnsi="Calibri"/>
          <w:sz w:val="22"/>
          <w:szCs w:val="22"/>
          <w:color w:val="000000"/>
        </w:rPr>
        <w:t xml:space="preserve"> ή να επικοινωνήσουν με την OCC στο 1-312-322-6200.</w:t>
      </w:r>
      <w:r>
        <w:rPr xmlns:w="http://schemas.openxmlformats.org/wordprocessingml/2006/main">
          <w:rFonts w:ascii="Calibri" w:cs="Calibri" w:eastAsia="Calibri" w:hAnsi="Calibri"/>
          <w:sz w:val="22"/>
          <w:szCs w:val="22"/>
          <w:color w:val="000000"/>
        </w:rPr>
        <w:t xml:space="preserve"> Επικαιροποιήθηκε στις 28 Δεκεμβρίου 2022 και στις 20 Απριλίου 2023.</w:t>
      </w:r>
    </w:p>
    <w:p>
      <w:pPr>
        <w:spacing w:after="0" w:line="83" w:lineRule="exact"/>
        <w:rPr>
          <w:sz w:val="24"/>
          <w:szCs w:val="24"/>
          <w:color w:val="auto"/>
        </w:rPr>
      </w:pPr>
    </w:p>
    <w:p>
      <w:pPr xmlns:w="http://schemas.openxmlformats.org/wordprocessingml/2006/main">
        <w:ind w:right="40" w:firstLine="5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Συναγερμός.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Πρόκειται να αγοράσετε ένα προϊόν που δεν είναι απλό και μπορεί να είναι δύσκολο να κατανοηθεί.</w:t>
      </w:r>
      <w:r>
        <w:rPr xmlns:w="http://schemas.openxmlformats.org/wordprocessingml/2006/main">
          <w:rFonts w:ascii="Calibri" w:cs="Calibri" w:eastAsia="Calibri" w:hAnsi="Calibri"/>
          <w:sz w:val="22"/>
          <w:szCs w:val="22"/>
          <w:color w:val="auto"/>
        </w:rPr>
        <w:t xml:space="preserve"> Οι επενδυτές δεν θα πρέπει να ανταλλάσσουν τυποποιημένα δικαιώματα προαίρεσης επί συναλλάγματος έως ότου διαβάσουν και κατανοήσουν το παρόν έγγραφο και το σχετικό έγγραφο γνωστοποίησης κινδύνου που υποβάλλεται στην SEC, </w:t>
      </w:r>
      <w:r>
        <w:rPr xmlns:w="http://schemas.openxmlformats.org/wordprocessingml/2006/main">
          <w:rFonts w:ascii="Calibri" w:cs="Calibri" w:eastAsia="Calibri" w:hAnsi="Calibri"/>
          <w:sz w:val="22"/>
          <w:szCs w:val="22"/>
          <w:u w:val="single" w:color="auto"/>
          <w:color w:val="auto"/>
        </w:rPr>
        <w:t xml:space="preserve">Χαρακτηριστικά και Κίνδυνοι τυποποιημένων δικαιωμάτων προαίρεσης,</w:t>
      </w:r>
      <w:r>
        <w:rPr xmlns:w="http://schemas.openxmlformats.org/wordprocessingml/2006/main">
          <w:rFonts w:ascii="Calibri" w:cs="Calibri" w:eastAsia="Calibri" w:hAnsi="Calibri"/>
          <w:sz w:val="22"/>
          <w:szCs w:val="22"/>
          <w:color w:val="auto"/>
        </w:rPr>
        <w:t xml:space="preserve"> γνωστό και ως έγγραφο γνωστοποίησης δικαιωμάτων προαίρεσης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Οι γνωστοποιήσεις στο παρόν θα πρέπει να ερμηνεύονται κατά τρόπο συνεπή προς το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676390" cy="4918075"/>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76390" cy="4918075"/>
                        </a:xfrm>
                        <a:prstGeom prst="rect">
                          <a:avLst/>
                        </a:prstGeom>
                        <a:solidFill>
                          <a:srgbClr val="BDD6EE"/>
                        </a:solidFill>
                      </wps:spPr>
                      <wps:bodyPr/>
                    </wps:wsp>
                  </a:graphicData>
                </a:graphic>
              </wp:anchor>
            </w:drawing>
          </mc:Choice>
          <mc:Fallback>
            <w:pict>
              <v:rect id="Shape 11" o:spid="_x0000_s1036" style="position:absolute;margin-left:-4.8499pt;margin-top:1.65pt;width:525.7pt;height:387.25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Τι είναι αυτό το προϊόν;</w:t>
      </w:r>
    </w:p>
    <w:p>
      <w:pPr>
        <w:spacing w:after="0" w:line="42"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Τύπος</w:t>
      </w:r>
    </w:p>
    <w:p>
      <w:pPr>
        <w:spacing w:after="0" w:line="105" w:lineRule="exact"/>
        <w:rPr>
          <w:sz w:val="24"/>
          <w:szCs w:val="24"/>
          <w:color w:val="auto"/>
        </w:rPr>
      </w:pPr>
    </w:p>
    <w:p>
      <w:pPr xmlns:w="http://schemas.openxmlformats.org/wordprocessingml/2006/main">
        <w:ind w:right="1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Ένα τυποποιημένο δικαίωμα προαίρεσης επί συναλλάγματος είναι το δικαίωμα αγοράς ή πώλησης ενός νομίσματος («υποκείμενο νόμισμα») σε μια καθορισμένη τιμή («τιμή άσκησης») εκφρασμένη σε άλλο νόμισμα («νόμισμα διαπραγμάτευσης»), που αντιπροσωπεύει τη «συναλλαγματική ισοτιμία» μεταξύ των νομισμάτων, ασκώντας το δικαίωμα προαίρεσης πριν από τη λήξη.</w:t>
      </w:r>
      <w:r>
        <w:rPr xmlns:w="http://schemas.openxmlformats.org/wordprocessingml/2006/main">
          <w:rFonts w:ascii="Calibri" w:cs="Calibri" w:eastAsia="Calibri" w:hAnsi="Calibri"/>
          <w:sz w:val="22"/>
          <w:szCs w:val="22"/>
          <w:color w:val="auto"/>
        </w:rPr>
        <w:t xml:space="preserve"> Το άνοιγμα στο υποκείμενο νόμισμα είναι επομένως έμμεσο, επειδή η αξία του δικαιώματος προαίρεσης προκύπτει από την αξία του υποκείμενου νομίσματος.</w:t>
      </w:r>
      <w:r>
        <w:rPr xmlns:w="http://schemas.openxmlformats.org/wordprocessingml/2006/main">
          <w:rFonts w:ascii="Calibri" w:cs="Calibri" w:eastAsia="Calibri" w:hAnsi="Calibri"/>
          <w:sz w:val="22"/>
          <w:szCs w:val="22"/>
          <w:color w:val="auto"/>
        </w:rPr>
        <w:t xml:space="preserve"> Οι ημερομηνίες λήξης ποικίλλουν.</w:t>
      </w:r>
      <w:r>
        <w:rPr xmlns:w="http://schemas.openxmlformats.org/wordprocessingml/2006/main">
          <w:rFonts w:ascii="Calibri" w:cs="Calibri" w:eastAsia="Calibri" w:hAnsi="Calibri"/>
          <w:sz w:val="22"/>
          <w:szCs w:val="22"/>
          <w:color w:val="auto"/>
        </w:rPr>
        <w:t xml:space="preserve"> Η OCC δεν μπορεί να τερματίσει μονομερώς την επιλογή.</w:t>
      </w:r>
      <w:r>
        <w:rPr xmlns:w="http://schemas.openxmlformats.org/wordprocessingml/2006/main">
          <w:rFonts w:ascii="Calibri" w:cs="Calibri" w:eastAsia="Calibri" w:hAnsi="Calibri"/>
          <w:sz w:val="22"/>
          <w:szCs w:val="22"/>
          <w:color w:val="auto"/>
        </w:rPr>
        <w:t xml:space="preserve"> Σε ορισμένες εξαιρετικές περιπτώσεις στις οποίες οι όροι ενός δικαιώματος προαίρεσης θεωρούνται σαφώς εσφαλμένοι, η ανταλλαγή στην οποία εκτελείται η συναλλαγή σας μπορεί να τερματίσει μονομερώς το δικαίωμα προαίρεσης εντός συγκεκριμένου χρονικού διαστήματος μετά την εκτέλεσή του.</w:t>
      </w:r>
      <w:r>
        <w:rPr xmlns:w="http://schemas.openxmlformats.org/wordprocessingml/2006/main">
          <w:rFonts w:ascii="Calibri" w:cs="Calibri" w:eastAsia="Calibri" w:hAnsi="Calibri"/>
          <w:sz w:val="22"/>
          <w:szCs w:val="22"/>
          <w:color w:val="auto"/>
        </w:rPr>
        <w:t xml:space="preserve"> Σε ορισμένες περιπτώσεις, μια ενέργεια του εκδότη συναλλάγματος μπορεί να οδηγήσει σε αλλαγή των όρων του δικαιώματος προαίρεσης σύμφωνα με τους κανόνες του OCC, οι οποίοι μπορεί να διαφέρουν από τη μεθοδολογία στις ευρωπαϊκές αγορές.</w:t>
      </w:r>
    </w:p>
    <w:p>
      <w:pPr>
        <w:spacing w:after="0" w:line="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Στόχοι</w:t>
      </w:r>
    </w:p>
    <w:p>
      <w:pPr>
        <w:spacing w:after="0" w:line="108" w:lineRule="exact"/>
        <w:rPr>
          <w:sz w:val="24"/>
          <w:szCs w:val="24"/>
          <w:color w:val="auto"/>
        </w:rPr>
      </w:pPr>
    </w:p>
    <w:p>
      <w:pPr xmlns:w="http://schemas.openxmlformats.org/wordprocessingml/2006/main">
        <w:spacing w:after="0" w:line="234" w:lineRule="auto"/>
        <w:rPr>
          <w:sz w:val="20"/>
          <w:szCs w:val="20"/>
          <w:color w:val="auto"/>
        </w:rPr>
      </w:pPr>
      <w:r>
        <w:rPr xmlns:w="http://schemas.openxmlformats.org/wordprocessingml/2006/main">
          <w:rFonts w:ascii="Calibri" w:cs="Calibri" w:eastAsia="Calibri" w:hAnsi="Calibri"/>
          <w:sz w:val="22"/>
          <w:szCs w:val="22"/>
          <w:color w:val="auto"/>
        </w:rPr>
        <w:t xml:space="preserve">Ο κάτοχος του δικαιώματος προαίρεσης (αγοραστής) είναι το πρόσωπο που αγοράζει το δικαίωμα που μεταβιβάζεται από την επιλογή και καταβάλλει στο συγγραφέα (πωλητή) μια μη επιστρεπτέα πληρωμή που ονομάζεται «ασφάλιστρο».</w:t>
      </w:r>
      <w:r>
        <w:rPr xmlns:w="http://schemas.openxmlformats.org/wordprocessingml/2006/main">
          <w:rFonts w:ascii="Calibri" w:cs="Calibri" w:eastAsia="Calibri" w:hAnsi="Calibri"/>
          <w:sz w:val="22"/>
          <w:szCs w:val="22"/>
          <w:color w:val="auto"/>
        </w:rPr>
        <w:t xml:space="preserve"> Ο εκδότης του δικαιώματος προαίρεσης υποχρεούται - αν και όταν του ανατίθεται μια άσκηση - να εκτελεί σύμφωνα με τους όρους αγοράς ή πώλησης του υποκείμενου νομίσματος στην τιμή άσκησης.</w:t>
      </w:r>
      <w:r>
        <w:rPr xmlns:w="http://schemas.openxmlformats.org/wordprocessingml/2006/main">
          <w:rFonts w:ascii="Calibri" w:cs="Calibri" w:eastAsia="Calibri" w:hAnsi="Calibri"/>
          <w:sz w:val="22"/>
          <w:szCs w:val="22"/>
          <w:color w:val="auto"/>
        </w:rPr>
        <w:t xml:space="preserve"> Μια επιλογή που δίνει σε έναν κάτοχο το δικαίωμα να αγοράσει είναι ένα δικαίωμα αγοράς, και μια επιλογή που δίνει στον κάτοχο το δικαίωμα να πουλήσει είναι ένα δικαίωμα πώλησης.</w:t>
      </w:r>
      <w:r>
        <w:rPr xmlns:w="http://schemas.openxmlformats.org/wordprocessingml/2006/main">
          <w:rFonts w:ascii="Calibri" w:cs="Calibri" w:eastAsia="Calibri" w:hAnsi="Calibri"/>
          <w:sz w:val="22"/>
          <w:szCs w:val="22"/>
          <w:color w:val="auto"/>
        </w:rPr>
        <w:t xml:space="preserve"> Ένα αμερικανικό δικαίωμα προαίρεσης μπορεί να ασκηθεί από έναν κάτοχο οποιαδήποτε στιγμή πριν από τη λήξη, ενώ ένα ευρωπαϊκό δικαίωμα προαίρεσης μπορεί να ασκηθεί μόνο κατά τη διάρκεια μιας καθορισμένης περιόδου πριν από τη λήξη (ημερομηνία λήξης).</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color w:val="auto"/>
        </w:rPr>
        <w:t xml:space="preserve">Τα τυποποιημένα δικαιώματα προαίρεσης επί συναλλάγματος διακανονίζονται συνήθως με φυσική μορφή, αλλά μπορούν επίσης να διακανονίζονται σε μετρητά.</w:t>
      </w:r>
      <w:r>
        <w:rPr xmlns:w="http://schemas.openxmlformats.org/wordprocessingml/2006/main">
          <w:rFonts w:ascii="Calibri" w:cs="Calibri" w:eastAsia="Calibri" w:hAnsi="Calibri"/>
          <w:sz w:val="22"/>
          <w:szCs w:val="22"/>
          <w:color w:val="auto"/>
        </w:rPr>
        <w:t xml:space="preserve"> Ο φυσικός διακανονισμός παρέχει στον κάτοχο το δικαίωμα λήψης (κλήσης) ή πραγματοποίησης (πώλησης) της φυσικής παράδοσης του υποκείμενου μέσου κατά την άσκηση.</w:t>
      </w:r>
      <w:r>
        <w:rPr xmlns:w="http://schemas.openxmlformats.org/wordprocessingml/2006/main">
          <w:rFonts w:ascii="Calibri" w:cs="Calibri" w:eastAsia="Calibri" w:hAnsi="Calibri"/>
          <w:sz w:val="22"/>
          <w:szCs w:val="22"/>
          <w:color w:val="auto"/>
        </w:rPr>
        <w:t xml:space="preserve"> Στο πλαίσιο διακανονισμού σε μετρητά, ο κάτοχος έχει το δικαίωμα να λάβει καταβολή μετρητών, αν η προσδιοριζόμενη αξία του υποκείμενου μέσου κατά την άσκηση υπερβαίνει (call) ή είναι μικρότερη (put) από την τιμή άσκησης.</w:t>
      </w:r>
      <w:r>
        <w:rPr xmlns:w="http://schemas.openxmlformats.org/wordprocessingml/2006/main">
          <w:rFonts w:ascii="Calibri" w:cs="Calibri" w:eastAsia="Calibri" w:hAnsi="Calibri"/>
          <w:sz w:val="22"/>
          <w:szCs w:val="22"/>
          <w:color w:val="auto"/>
        </w:rPr>
        <w:t xml:space="preserve"> Οι παράγοντες που επηρεάζουν την αξία ενός δικαιώματος προαίρεσης περιλαμβάνουν την τιμή άσκησης, τον χρόνο έως τη λήξη, και την αξία των υποκείμενων νομισμάτων και των νομισμάτων διαπραγμάτευσης και την ευαισθησία τους στις διακυμάνσεις των τιμών (μεταβλητότητα).</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Επιδιωκόμενος ιδιώτης επενδυτής</w:t>
      </w:r>
    </w:p>
    <w:p>
      <w:pPr>
        <w:spacing w:after="0" w:line="108" w:lineRule="exact"/>
        <w:rPr>
          <w:sz w:val="24"/>
          <w:szCs w:val="24"/>
          <w:color w:val="auto"/>
        </w:rPr>
      </w:pPr>
    </w:p>
    <w:p>
      <w:pPr xmlns:w="http://schemas.openxmlformats.org/wordprocessingml/2006/main">
        <w:ind w:right="4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Το προϊόν αυτό δεν έχει σχεδιαστεί για συγκεκριμένο τύπο επενδυτή ή για την επίτευξη συγκεκριμένου επενδυτικού στόχου ή επενδυτικής στρατηγικής.</w:t>
      </w:r>
      <w:r>
        <w:rPr xmlns:w="http://schemas.openxmlformats.org/wordprocessingml/2006/main">
          <w:rFonts w:ascii="Calibri" w:cs="Calibri" w:eastAsia="Calibri" w:hAnsi="Calibri"/>
          <w:sz w:val="22"/>
          <w:szCs w:val="22"/>
          <w:color w:val="auto"/>
        </w:rPr>
        <w:t xml:space="preserve"> Δεν είναι κατάλληλο για όλους τους επενδυτές και προορίζεται μόνο για τους επενδυτές που έχουν σε βάθος κατανόηση του προϊόντος και μπορούν να αντέξουν τις πιθανές ζημίες που συνδέονται με αυτό και τη σχετική επενδυτική στρατηγική.</w:t>
      </w:r>
      <w:r>
        <w:rPr xmlns:w="http://schemas.openxmlformats.org/wordprocessingml/2006/main">
          <w:rFonts w:ascii="Calibri" w:cs="Calibri" w:eastAsia="Calibri" w:hAnsi="Calibri"/>
          <w:sz w:val="22"/>
          <w:szCs w:val="22"/>
          <w:color w:val="auto"/>
        </w:rPr>
        <w:t xml:space="preserve"> Αν έχετε ερωτήσεις σχετικά με την καταλληλότητα, μπορείτε να επικοινωνήσετε με το μεσίτη ή τον σύμβουλο επενδύσεων σας.</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17780</wp:posOffset>
                </wp:positionV>
                <wp:extent cx="6689725"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pt" to="521.4pt,1.4pt" o:allowincell="f" strokecolor="#000000" strokeweight="0.48pt"/>
            </w:pict>
          </mc:Fallback>
        </mc:AlternateContent>
      </w:r>
    </w:p>
    <w:p>
      <w:pPr>
        <w:sectPr>
          <w:pgSz w:w="12240" w:h="15840" w:orient="portrait"/>
          <w:cols w:equalWidth="0" w:num="1">
            <w:col w:w="10300"/>
          </w:cols>
          <w:pgMar w:left="940" w:top="627" w:right="1000" w:bottom="1440" w:gutter="0" w:footer="0" w:header="0"/>
        </w:sectPr>
      </w:pPr>
    </w:p>
    <w:bookmarkStart w:id="1" w:name="page2"/>
    <w:bookmarkEnd w:id="1"/>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923036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923036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2303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59.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4"/>
          <w:szCs w:val="24"/>
          <w:b w:val="1"/>
          <w:bCs w:val="1"/>
          <w:color w:val="auto"/>
        </w:rPr>
        <w:t xml:space="preserve">Ποιοι είναι οι κίνδυνοι και τι θα μπορούσα να πάρω ως αντάλλαγμα;</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Δείκτης κινδύνου</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12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Η περίληψη του δείκτη κινδύνου είναι ένας οδηγός για το επίπεδο κινδύνου αυτού του προϊόντος σε σύγκριση με άλλα προϊόντα.</w:t>
      </w:r>
      <w:r>
        <w:rPr xmlns:w="http://schemas.openxmlformats.org/wordprocessingml/2006/main">
          <w:rFonts w:ascii="Calibri" w:cs="Calibri" w:eastAsia="Calibri" w:hAnsi="Calibri"/>
          <w:sz w:val="22"/>
          <w:szCs w:val="22"/>
          <w:color w:val="auto"/>
        </w:rPr>
        <w:t xml:space="preserve"> Δείχνει πόσο πιθανό είναι ότι το προϊόν θα χάσει χρήματα λόγω των κινήσεων στις αγορές ή επειδή δεν είμαστε σε θέση να σας πληρώσουμε.</w:t>
      </w:r>
      <w:r>
        <w:rPr xmlns:w="http://schemas.openxmlformats.org/wordprocessingml/2006/main">
          <w:rFonts w:ascii="Calibri" w:cs="Calibri" w:eastAsia="Calibri" w:hAnsi="Calibri"/>
          <w:sz w:val="22"/>
          <w:szCs w:val="22"/>
          <w:color w:val="auto"/>
        </w:rPr>
        <w:t xml:space="preserve"> Έχουμε ταξινομήσει αυτό το προϊόν ως 7 από 7, η οποία είναι η υψηλότερη κατηγορία κινδύνου και βαθμολογεί τις πιθανές απώλειες από τις μελλοντικές επιδόσεις σε πολύ υψηλό επίπεδο.</w:t>
      </w:r>
      <w:r>
        <w:rPr xmlns:w="http://schemas.openxmlformats.org/wordprocessingml/2006/main">
          <w:rFonts w:ascii="Calibri" w:cs="Calibri" w:eastAsia="Calibri" w:hAnsi="Calibri"/>
          <w:sz w:val="22"/>
          <w:szCs w:val="22"/>
          <w:color w:val="auto"/>
        </w:rPr>
        <w:t xml:space="preserve"> Αυτό το προϊόν δεν περιλαμβάνει καμία προστασία από τις μελλοντικές επιδόσεις της αγοράς, ώστε να μπορείτε να χάσετε μέρος ή ολόκληρη την επένδυσή σας.</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Το προφίλ κινδύνου και ανταμοιβής για κατόχους και συγγραφείς εξαρτάται από τους όρους της επιλογής, αλλά μπορεί να περιλαμβάνει τα ακόλουθα:</w:t>
      </w:r>
    </w:p>
    <w:p>
      <w:pPr>
        <w:spacing w:after="0" w:line="79" w:lineRule="exact"/>
        <w:rPr>
          <w:sz w:val="20"/>
          <w:szCs w:val="20"/>
          <w:color w:val="auto"/>
        </w:rPr>
      </w:pPr>
    </w:p>
    <w:p>
      <w:pPr xmlns:w="http://schemas.openxmlformats.org/wordprocessingml/2006/main">
        <w:ind w:left="220" w:right="20" w:hanging="214"/>
        <w:spacing w:after="0" w:line="225"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Ένα πρόγραμμα εγγραφής δικαιώματος προαίρεσης μπορεί να απαιτείται για την εκπλήρωση της υποχρέωσης αγοράς ή πώλησης του υποκείμενου δικαιώματος προαίρεσης οποιαδήποτε στιγμή κατά την οποία το δικαίωμα προαίρεσης μπορεί να ασκηθεί λόγω του ύφους του.</w:t>
      </w:r>
      <w:r>
        <w:rPr xmlns:w="http://schemas.openxmlformats.org/wordprocessingml/2006/main">
          <w:rFonts w:ascii="Calibri" w:cs="Calibri" w:eastAsia="Calibri" w:hAnsi="Calibri"/>
          <w:sz w:val="22"/>
          <w:szCs w:val="22"/>
          <w:color w:val="auto"/>
        </w:rPr>
        <w:t xml:space="preserve"> Ο δικαιοπάροχος που δεν κατέχει το υποκείμενο νόμισμα (ακάλυπτη κλήση) αναλαμβάνει τον κίνδυνο απεριόριστης ζημίας.</w:t>
      </w:r>
      <w:r>
        <w:rPr xmlns:w="http://schemas.openxmlformats.org/wordprocessingml/2006/main">
          <w:rFonts w:ascii="Calibri" w:cs="Calibri" w:eastAsia="Calibri" w:hAnsi="Calibri"/>
          <w:sz w:val="22"/>
          <w:szCs w:val="22"/>
          <w:color w:val="auto"/>
        </w:rPr>
        <w:t xml:space="preserve"> Ένας συγγραφέας δικαιωμάτων πώλησης μπορεί να χάσει τη διαφορά μεταξύ της τιμής άσκησης και του μηδενός.</w:t>
      </w:r>
      <w:r>
        <w:rPr xmlns:w="http://schemas.openxmlformats.org/wordprocessingml/2006/main">
          <w:rFonts w:ascii="Calibri" w:cs="Calibri" w:eastAsia="Calibri" w:hAnsi="Calibri"/>
          <w:sz w:val="22"/>
          <w:szCs w:val="22"/>
          <w:color w:val="auto"/>
        </w:rPr>
        <w:t xml:space="preserve"> Συσκευές εγγραφής των ακάλυπτων κλήσεων και μεταθέτει το περιθώριο (που περιγράφεται κατωτέρω) με τον μεσίτη τους, γεγονός που δημιουργεί πρόσθετο κίνδυνο.</w:t>
      </w:r>
    </w:p>
    <w:p>
      <w:pPr>
        <w:spacing w:after="0" w:line="83" w:lineRule="exact"/>
        <w:rPr>
          <w:rFonts w:ascii="Symbol" w:cs="Symbol" w:eastAsia="Symbol" w:hAnsi="Symbol"/>
          <w:sz w:val="22"/>
          <w:szCs w:val="22"/>
          <w:color w:val="auto"/>
        </w:rPr>
      </w:pPr>
    </w:p>
    <w:p>
      <w:pPr xmlns:w="http://schemas.openxmlformats.org/wordprocessingml/2006/main">
        <w:ind w:left="220" w:right="2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ένα χρηματιστήριο στις ΗΠΑ όπου τα δικαιώματα προαίρεσης διαπραγματεύονται αποκλειστικά δεν είναι διαθέσιμο, οι επενδυτές σε αυτά τα δικαιώματα προαίρεσης δεν θα μπορούσαν πλέον να συμμετάσχουν σε συναλλαγές κλεισίματος.</w:t>
      </w:r>
      <w:r>
        <w:rPr xmlns:w="http://schemas.openxmlformats.org/wordprocessingml/2006/main">
          <w:rFonts w:ascii="Calibri" w:cs="Calibri" w:eastAsia="Calibri" w:hAnsi="Calibri"/>
          <w:sz w:val="22"/>
          <w:szCs w:val="22"/>
          <w:color w:val="auto"/>
        </w:rPr>
        <w:t xml:space="preserve"> Επιπλέον, ενδέχεται να υπάρξουν περιπτώσεις κατά τις οποίες οι τιμές των δικαιωμάτων προαίρεσης δεν θα διατηρήσουν συνήθεις ή αναμενόμενες σχέσεις με τις αξίες των υποκείμενων ή συναφών συμφερόντων.</w:t>
      </w:r>
    </w:p>
    <w:p>
      <w:pPr>
        <w:spacing w:after="0" w:line="79" w:lineRule="exact"/>
        <w:rPr>
          <w:rFonts w:ascii="Symbol" w:cs="Symbol" w:eastAsia="Symbol" w:hAnsi="Symbol"/>
          <w:sz w:val="22"/>
          <w:szCs w:val="22"/>
          <w:color w:val="auto"/>
        </w:rPr>
      </w:pPr>
    </w:p>
    <w:p>
      <w:pPr xmlns:w="http://schemas.openxmlformats.org/wordprocessingml/2006/main">
        <w:ind w:left="220" w:right="66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Αν το υποκείμενο νόμισμα για ένα δικαίωμα προαίρεσης που διακανονίζεται με φυσική παράδοση δεν είναι διαθέσιμο, οι κανόνες του OCC ενδέχεται να απαιτούν εναλλακτική μορφή διακανονισμού, όπως διακανονισμό σε μετρητά.</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Η φορολογική νομοθεσία του κράτους μέλους καταγωγής του επενδυτή μπορεί να έχει αντίκτυπο στην απόδοση του επενδυτή.</w:t>
      </w:r>
    </w:p>
    <w:p>
      <w:pPr>
        <w:spacing w:after="0" w:line="26" w:lineRule="exact"/>
        <w:rPr>
          <w:rFonts w:ascii="Symbol" w:cs="Symbol" w:eastAsia="Symbol" w:hAnsi="Symbol"/>
          <w:sz w:val="22"/>
          <w:szCs w:val="22"/>
          <w:color w:val="auto"/>
        </w:rPr>
      </w:pPr>
    </w:p>
    <w:p>
      <w:pPr xmlns:w="http://schemas.openxmlformats.org/wordprocessingml/2006/main">
        <w:ind w:left="220" w:hanging="214"/>
        <w:spacing w:after="0" w:line="218"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b w:val="1"/>
          <w:bCs w:val="1"/>
          <w:color w:val="auto"/>
        </w:rPr>
        <w:t xml:space="preserve">Να είστε ενήμεροι για τους συναλλαγματικούς κινδύνους.</w:t>
      </w:r>
      <w:r>
        <w:rPr xmlns:w="http://schemas.openxmlformats.org/wordprocessingml/2006/main">
          <w:rFonts w:ascii="Calibri" w:cs="Calibri" w:eastAsia="Calibri" w:hAnsi="Calibri"/>
          <w:sz w:val="22"/>
          <w:szCs w:val="22"/>
          <w:b w:val="1"/>
          <w:bCs w:val="1"/>
          <w:color w:val="auto"/>
        </w:rPr>
        <w:t xml:space="preserve"> Η αξία των υποκείμενων νομισμάτων και των νομισμάτων διαπραγμάτευσης μπορεί να επηρεαστεί από σύνθετες διακυμάνσεις</w:t>
      </w:r>
    </w:p>
    <w:p>
      <w:pPr>
        <w:spacing w:after="0" w:line="78" w:lineRule="exact"/>
        <w:rPr>
          <w:sz w:val="20"/>
          <w:szCs w:val="20"/>
          <w:color w:val="auto"/>
        </w:rPr>
      </w:pPr>
    </w:p>
    <w:p>
      <w:pPr xmlns:w="http://schemas.openxmlformats.org/wordprocessingml/2006/main">
        <w:jc w:val="center"/>
        <w:ind w:right="140"/>
        <w:spacing w:after="0" w:line="217"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πολιτικοί και οικονομικοί παράγοντες.</w:t>
      </w:r>
      <w:r>
        <w:rPr xmlns:w="http://schemas.openxmlformats.org/wordprocessingml/2006/main">
          <w:rFonts w:ascii="Calibri" w:cs="Calibri" w:eastAsia="Calibri" w:hAnsi="Calibri"/>
          <w:sz w:val="22"/>
          <w:szCs w:val="22"/>
          <w:b w:val="1"/>
          <w:bCs w:val="1"/>
          <w:color w:val="auto"/>
        </w:rPr>
        <w:t xml:space="preserve"> Επιπλέον, οι πληρωμές σε μετρητά θα διακανονιστούν σε δολάρια ΗΠΑ, και έτσι τα αποτελέσματα των επενδύσεων μπορεί να αλλάξουν ανάλογα με τις νομισματικές διακυμάνσεις.</w:t>
      </w:r>
      <w:r>
        <w:rPr xmlns:w="http://schemas.openxmlformats.org/wordprocessingml/2006/main">
          <w:rFonts w:ascii="Calibri" w:cs="Calibri" w:eastAsia="Calibri" w:hAnsi="Calibri"/>
          <w:sz w:val="22"/>
          <w:szCs w:val="22"/>
          <w:b w:val="1"/>
          <w:bCs w:val="1"/>
          <w:color w:val="auto"/>
        </w:rPr>
        <w:t xml:space="preserve"> Ο κίνδυνος αυτός δεν λαμβάνεται υπόψη στον παραπάνω δείκτη.</w:t>
      </w:r>
      <w:r>
        <w:rPr xmlns:w="http://schemas.openxmlformats.org/wordprocessingml/2006/main">
          <w:rFonts w:ascii="Calibri" w:cs="Calibri" w:eastAsia="Calibri" w:hAnsi="Calibri"/>
          <w:sz w:val="22"/>
          <w:szCs w:val="22"/>
          <w:b w:val="1"/>
          <w:bCs w:val="1"/>
          <w:color w:val="auto"/>
        </w:rPr>
        <w:t xml:space="preserve"> Σενάρια επιδόσεων</w:t>
      </w:r>
      <w:r>
        <w:rPr xmlns:w="http://schemas.openxmlformats.org/wordprocessingml/2006/main">
          <w:rFonts w:ascii="Calibri" w:cs="Calibri" w:eastAsia="Calibri" w:hAnsi="Calibri"/>
          <w:sz w:val="22"/>
          <w:szCs w:val="22"/>
          <w:color w:val="auto"/>
        </w:rPr>
        <w:t xml:space="preserve"> (Τα παραδείγματα δεν περιλαμβάνουν το κόστος των προμηθειών, των φόρων και άλλων εξόδων συναλλαγής που</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μπορεί να επηρεάσει την αξία μιας συναλλαγής και τη θέση του δικαιώματος προαίρεσης.)</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16510</wp:posOffset>
                </wp:positionV>
                <wp:extent cx="6545580" cy="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1.3pt" to="515.65pt,1.3pt" o:allowincell="f" strokecolor="#000000" strokeweight="0.48pt"/>
            </w:pict>
          </mc:Fallback>
        </mc:AlternateContent>
        <mc:AlternateContent>
          <mc:Choice Requires="wps">
            <w:drawing>
              <wp:anchor simplePos="0" relativeHeight="251657728" behindDoc="1" locked="0" layoutInCell="0" allowOverlap="1">
                <wp:simplePos x="0" y="0"/>
                <wp:positionH relativeFrom="column">
                  <wp:posOffset>6350</wp:posOffset>
                </wp:positionH>
                <wp:positionV relativeFrom="paragraph">
                  <wp:posOffset>13335</wp:posOffset>
                </wp:positionV>
                <wp:extent cx="0" cy="2212975"/>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5pt,1.05pt" to="0.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3935095</wp:posOffset>
                </wp:positionH>
                <wp:positionV relativeFrom="paragraph">
                  <wp:posOffset>13335</wp:posOffset>
                </wp:positionV>
                <wp:extent cx="0" cy="2212975"/>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09.85pt,1.05pt" to="309.85pt,175.3pt" o:allowincell="f" strokecolor="#000000" strokeweight="0.4799pt"/>
            </w:pict>
          </mc:Fallback>
        </mc:AlternateContent>
        <mc:AlternateContent>
          <mc:Choice Requires="wps">
            <w:drawing>
              <wp:anchor simplePos="0" relativeHeight="251657728" behindDoc="1" locked="0" layoutInCell="0" allowOverlap="1">
                <wp:simplePos x="0" y="0"/>
                <wp:positionH relativeFrom="column">
                  <wp:posOffset>6545580</wp:posOffset>
                </wp:positionH>
                <wp:positionV relativeFrom="paragraph">
                  <wp:posOffset>13335</wp:posOffset>
                </wp:positionV>
                <wp:extent cx="0" cy="2212975"/>
                <wp:wrapNone/>
                <wp:docPr id="21" name="Shape 2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4763" cy="221297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1" o:spid="_x0000_s104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15.4pt,1.05pt" to="515.4pt,175.3pt" o:allowincell="f" strokecolor="#000000" strokeweight="0.4799pt"/>
            </w:pict>
          </mc:Fallback>
        </mc:AlternateContent>
      </w:r>
    </w:p>
    <w:p>
      <w:pPr>
        <w:sectPr>
          <w:pgSz w:w="12240" w:h="15840" w:orient="portrait"/>
          <w:cols w:equalWidth="0" w:num="1">
            <w:col w:w="10320"/>
          </w:cols>
          <w:pgMar w:left="940" w:top="634" w:right="980" w:bottom="128" w:gutter="0" w:footer="0" w:header="0"/>
        </w:sectPr>
      </w:pPr>
    </w:p>
    <w:p>
      <w:pPr>
        <w:spacing w:after="0" w:line="164" w:lineRule="exact"/>
        <w:rPr>
          <w:sz w:val="20"/>
          <w:szCs w:val="20"/>
          <w:color w:val="auto"/>
        </w:rPr>
      </w:pPr>
    </w:p>
    <w:p>
      <w:pPr xmlns:w="http://schemas.openxmlformats.org/wordprocessingml/2006/main">
        <w:jc w:val="center"/>
        <w:ind w:left="340"/>
        <w:spacing w:after="0"/>
        <w:rPr>
          <w:sz w:val="20"/>
          <w:szCs w:val="20"/>
          <w:color w:val="auto"/>
        </w:rPr>
      </w:pPr>
      <w:r>
        <w:rPr xmlns:w="http://schemas.openxmlformats.org/wordprocessingml/2006/main">
          <w:rFonts w:ascii="Calibri" w:cs="Calibri" w:eastAsia="Calibri" w:hAnsi="Calibri"/>
          <w:sz w:val="16"/>
          <w:szCs w:val="16"/>
          <w:color w:val="595959"/>
        </w:rPr>
        <w:t xml:space="preserve">P/L για σύνταξη κλήσης FX (Premium 400 $*)</w:t>
      </w:r>
      <w:r>
        <w:rPr xmlns:w="http://schemas.openxmlformats.org/wordprocessingml/2006/main">
          <w:rFonts w:ascii="Calibri" w:cs="Calibri" w:eastAsia="Calibri" w:hAnsi="Calibri"/>
          <w:sz w:val="16"/>
          <w:szCs w:val="16"/>
          <w:color w:val="595959"/>
        </w:rPr>
        <w:t xml:space="preserve"> Τιμή άσκησης (1.30)</w:t>
      </w:r>
    </w:p>
    <w:p>
      <w:pPr>
        <w:spacing w:after="0" w:line="130" w:lineRule="exact"/>
        <w:rPr>
          <w:sz w:val="20"/>
          <w:szCs w:val="20"/>
          <w:color w:val="auto"/>
        </w:rPr>
      </w:pPr>
    </w:p>
    <w:tbl>
      <w:tblPr>
        <w:tblLayout w:type="fixed"/>
        <w:tblInd w:w="400" w:type="dxa"/>
        <w:tblCellMar>
          <w:top w:w="0" w:type="dxa"/>
          <w:left w:w="0" w:type="dxa"/>
          <w:bottom w:w="0" w:type="dxa"/>
          <w:right w:w="0" w:type="dxa"/>
        </w:tblCellMar>
      </w:tblPr>
      <w:tr>
        <w:trPr>
          <w:trHeight w:val="220"/>
        </w:trPr>
        <w:tc>
          <w:tcPr>
            <w:tcW w:w="180" w:type="dxa"/>
            <w:vAlign w:val="bottom"/>
          </w:tcPr>
          <w:p>
            <w:pPr>
              <w:spacing w:after="0"/>
              <w:rPr>
                <w:sz w:val="19"/>
                <w:szCs w:val="19"/>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600 $</w:t>
            </w:r>
          </w:p>
        </w:tc>
        <w:tc>
          <w:tcPr>
            <w:tcW w:w="0" w:type="dxa"/>
            <w:vAlign w:val="bottom"/>
          </w:tcPr>
          <w:p>
            <w:pPr>
              <w:spacing w:after="0"/>
              <w:rPr>
                <w:sz w:val="1"/>
                <w:szCs w:val="1"/>
                <w:color w:val="auto"/>
              </w:rPr>
            </w:pPr>
          </w:p>
        </w:tc>
      </w:tr>
      <w:tr>
        <w:trPr>
          <w:trHeight w:val="276"/>
        </w:trPr>
        <w:tc>
          <w:tcPr>
            <w:tcW w:w="180" w:type="dxa"/>
            <w:vAlign w:val="bottom"/>
          </w:tcPr>
          <w:p>
            <w:pPr>
              <w:spacing w:after="0"/>
              <w:rPr>
                <w:sz w:val="24"/>
                <w:szCs w:val="24"/>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400 $</w:t>
            </w:r>
          </w:p>
        </w:tc>
        <w:tc>
          <w:tcPr>
            <w:tcW w:w="0" w:type="dxa"/>
            <w:vAlign w:val="bottom"/>
          </w:tcPr>
          <w:p>
            <w:pPr>
              <w:spacing w:after="0"/>
              <w:rPr>
                <w:sz w:val="1"/>
                <w:szCs w:val="1"/>
                <w:color w:val="auto"/>
              </w:rPr>
            </w:pPr>
          </w:p>
        </w:tc>
      </w:tr>
      <w:tr>
        <w:trPr>
          <w:trHeight w:val="274"/>
        </w:trPr>
        <w:tc>
          <w:tcPr>
            <w:tcW w:w="18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5"/>
              </w:rPr>
              <w:t xml:space="preserve">*Α/Μ</w:t>
            </w: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200 $</w:t>
            </w:r>
          </w:p>
        </w:tc>
        <w:tc>
          <w:tcPr>
            <w:tcW w:w="0" w:type="dxa"/>
            <w:vAlign w:val="bottom"/>
          </w:tcPr>
          <w:p>
            <w:pPr>
              <w:spacing w:after="0"/>
              <w:rPr>
                <w:sz w:val="1"/>
                <w:szCs w:val="1"/>
                <w:color w:val="auto"/>
              </w:rPr>
            </w:pPr>
          </w:p>
        </w:tc>
      </w:tr>
      <w:tr>
        <w:trPr>
          <w:trHeight w:val="203"/>
        </w:trPr>
        <w:tc>
          <w:tcPr>
            <w:tcW w:w="180" w:type="dxa"/>
            <w:vAlign w:val="bottom"/>
            <w:vMerge w:val="continue"/>
          </w:tcPr>
          <w:p>
            <w:pPr>
              <w:spacing w:after="0"/>
              <w:rPr>
                <w:sz w:val="17"/>
                <w:szCs w:val="17"/>
                <w:color w:val="auto"/>
              </w:rPr>
            </w:pPr>
          </w:p>
        </w:tc>
        <w:tc>
          <w:tcPr>
            <w:tcW w:w="480" w:type="dxa"/>
            <w:vAlign w:val="bottom"/>
            <w:vMerge w:val="restart"/>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0" w:type="dxa"/>
            <w:vAlign w:val="bottom"/>
          </w:tcPr>
          <w:p>
            <w:pPr>
              <w:spacing w:after="0"/>
              <w:rPr>
                <w:sz w:val="1"/>
                <w:szCs w:val="1"/>
                <w:color w:val="auto"/>
              </w:rPr>
            </w:pPr>
          </w:p>
        </w:tc>
      </w:tr>
      <w:tr>
        <w:trPr>
          <w:trHeight w:val="73"/>
        </w:trPr>
        <w:tc>
          <w:tcPr>
            <w:tcW w:w="180" w:type="dxa"/>
            <w:vAlign w:val="bottom"/>
          </w:tcPr>
          <w:p>
            <w:pPr>
              <w:spacing w:after="0"/>
              <w:rPr>
                <w:sz w:val="6"/>
                <w:szCs w:val="6"/>
                <w:color w:val="auto"/>
              </w:rPr>
            </w:pPr>
          </w:p>
        </w:tc>
        <w:tc>
          <w:tcPr>
            <w:tcW w:w="480" w:type="dxa"/>
            <w:vAlign w:val="bottom"/>
            <w:vMerge w:val="continue"/>
          </w:tcPr>
          <w:p>
            <w:pPr>
              <w:spacing w:after="0"/>
              <w:rPr>
                <w:sz w:val="6"/>
                <w:szCs w:val="6"/>
                <w:color w:val="auto"/>
              </w:rPr>
            </w:pPr>
          </w:p>
        </w:tc>
        <w:tc>
          <w:tcPr>
            <w:tcW w:w="0" w:type="dxa"/>
            <w:vAlign w:val="bottom"/>
          </w:tcPr>
          <w:p>
            <w:pPr>
              <w:spacing w:after="0"/>
              <w:rPr>
                <w:sz w:val="1"/>
                <w:szCs w:val="1"/>
                <w:color w:val="auto"/>
              </w:rPr>
            </w:pPr>
          </w:p>
        </w:tc>
      </w:tr>
      <w:tr>
        <w:trPr>
          <w:trHeight w:val="274"/>
        </w:trPr>
        <w:tc>
          <w:tcPr>
            <w:tcW w:w="180" w:type="dxa"/>
            <w:vAlign w:val="bottom"/>
          </w:tcPr>
          <w:p>
            <w:pPr>
              <w:spacing w:after="0"/>
              <w:rPr>
                <w:sz w:val="23"/>
                <w:szCs w:val="23"/>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-200 $</w:t>
            </w:r>
          </w:p>
        </w:tc>
        <w:tc>
          <w:tcPr>
            <w:tcW w:w="0" w:type="dxa"/>
            <w:vAlign w:val="bottom"/>
          </w:tcPr>
          <w:p>
            <w:pPr>
              <w:spacing w:after="0"/>
              <w:rPr>
                <w:sz w:val="1"/>
                <w:szCs w:val="1"/>
                <w:color w:val="auto"/>
              </w:rPr>
            </w:pPr>
          </w:p>
        </w:tc>
      </w:tr>
      <w:tr>
        <w:trPr>
          <w:trHeight w:val="276"/>
        </w:trPr>
        <w:tc>
          <w:tcPr>
            <w:tcW w:w="180" w:type="dxa"/>
            <w:vAlign w:val="bottom"/>
          </w:tcPr>
          <w:p>
            <w:pPr>
              <w:spacing w:after="0"/>
              <w:rPr>
                <w:sz w:val="24"/>
                <w:szCs w:val="24"/>
                <w:color w:val="auto"/>
              </w:rPr>
            </w:pPr>
          </w:p>
        </w:tc>
        <w:tc>
          <w:tcPr>
            <w:tcW w:w="480" w:type="dxa"/>
            <w:vAlign w:val="bottom"/>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-400 $</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765175</wp:posOffset>
            </wp:positionH>
            <wp:positionV relativeFrom="paragraph">
              <wp:posOffset>-929640</wp:posOffset>
            </wp:positionV>
            <wp:extent cx="2865755" cy="8826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extLst>
                        <a:ext uri="{28A0092B-C50C-407E-A947-70E740481C1C}"/>
                      </a:extLst>
                    </a:blip>
                    <a:srcRect/>
                    <a:stretch>
                      <a:fillRect/>
                    </a:stretch>
                  </pic:blipFill>
                  <pic:spPr bwMode="auto">
                    <a:xfrm>
                      <a:off x="0" y="0"/>
                      <a:ext cx="2865755" cy="882650"/>
                    </a:xfrm>
                    <a:prstGeom prst="rect">
                      <a:avLst/>
                    </a:prstGeom>
                    <a:noFill/>
                  </pic:spPr>
                </pic:pic>
              </a:graphicData>
            </a:graphic>
          </wp:anchor>
        </w:drawing>
      </w:r>
    </w:p>
    <w:p>
      <w:pPr xmlns:w="http://schemas.openxmlformats.org/wordprocessingml/2006/main">
        <w:jc w:val="right"/>
        <w:spacing w:after="0"/>
        <w:tabs>
          <w:tab w:leader="none" w:pos="4040" w:val="left"/>
          <w:tab w:leader="none" w:pos="3280" w:val="left"/>
          <w:tab w:leader="none" w:pos="2540" w:val="left"/>
          <w:tab w:leader="none" w:pos="1800" w:val="left"/>
          <w:tab w:leader="none" w:pos="1040" w:val="left"/>
          <w:tab w:leader="none" w:pos="300" w:val="left"/>
        </w:tabs>
        <w:rPr>
          <w:sz w:val="20"/>
          <w:szCs w:val="20"/>
          <w:color w:val="auto"/>
        </w:rPr>
      </w:pPr>
      <w:r>
        <w:rPr xmlns:w="http://schemas.openxmlformats.org/wordprocessingml/2006/main">
          <w:rFonts w:ascii="Calibri" w:cs="Calibri" w:eastAsia="Calibri" w:hAnsi="Calibri"/>
          <w:sz w:val="18"/>
          <w:szCs w:val="18"/>
          <w:color w:val="595959"/>
        </w:rPr>
        <w:t xml:space="preserve">1,26</w:t>
        <w:tab xmlns:w="http://schemas.openxmlformats.org/wordprocessingml/2006/main"/>
      </w:r>
      <w:r>
        <w:rPr xmlns:w="http://schemas.openxmlformats.org/wordprocessingml/2006/main">
          <w:rFonts w:ascii="Calibri" w:cs="Calibri" w:eastAsia="Calibri" w:hAnsi="Calibri"/>
          <w:sz w:val="18"/>
          <w:szCs w:val="18"/>
          <w:color w:val="595959"/>
        </w:rPr>
        <w:t xml:space="preserve">1,28</w:t>
        <w:tab xmlns:w="http://schemas.openxmlformats.org/wordprocessingml/2006/main"/>
      </w:r>
      <w:r>
        <w:rPr xmlns:w="http://schemas.openxmlformats.org/wordprocessingml/2006/main">
          <w:rFonts w:ascii="Calibri" w:cs="Calibri" w:eastAsia="Calibri" w:hAnsi="Calibri"/>
          <w:sz w:val="18"/>
          <w:szCs w:val="18"/>
          <w:color w:val="595959"/>
        </w:rPr>
        <w:t xml:space="preserve">1,30</w:t>
        <w:tab xmlns:w="http://schemas.openxmlformats.org/wordprocessingml/2006/main"/>
      </w:r>
      <w:r>
        <w:rPr xmlns:w="http://schemas.openxmlformats.org/wordprocessingml/2006/main">
          <w:rFonts w:ascii="Calibri" w:cs="Calibri" w:eastAsia="Calibri" w:hAnsi="Calibri"/>
          <w:sz w:val="18"/>
          <w:szCs w:val="18"/>
          <w:color w:val="595959"/>
        </w:rPr>
        <w:t xml:space="preserve">1,32</w:t>
        <w:tab xmlns:w="http://schemas.openxmlformats.org/wordprocessingml/2006/main"/>
      </w:r>
      <w:r>
        <w:rPr xmlns:w="http://schemas.openxmlformats.org/wordprocessingml/2006/main">
          <w:rFonts w:ascii="Calibri" w:cs="Calibri" w:eastAsia="Calibri" w:hAnsi="Calibri"/>
          <w:sz w:val="18"/>
          <w:szCs w:val="18"/>
          <w:color w:val="595959"/>
        </w:rPr>
        <w:t xml:space="preserve">1,34</w:t>
        <w:tab xmlns:w="http://schemas.openxmlformats.org/wordprocessingml/2006/main"/>
      </w:r>
      <w:r>
        <w:rPr xmlns:w="http://schemas.openxmlformats.org/wordprocessingml/2006/main">
          <w:rFonts w:ascii="Calibri" w:cs="Calibri" w:eastAsia="Calibri" w:hAnsi="Calibri"/>
          <w:sz w:val="18"/>
          <w:szCs w:val="18"/>
          <w:color w:val="595959"/>
        </w:rPr>
        <w:t xml:space="preserve">1,36</w:t>
        <w:tab xmlns:w="http://schemas.openxmlformats.org/wordprocessingml/2006/main"/>
      </w:r>
      <w:r>
        <w:rPr xmlns:w="http://schemas.openxmlformats.org/wordprocessingml/2006/main">
          <w:rFonts w:ascii="Calibri" w:cs="Calibri" w:eastAsia="Calibri" w:hAnsi="Calibri"/>
          <w:sz w:val="18"/>
          <w:szCs w:val="18"/>
          <w:color w:val="595959"/>
        </w:rPr>
        <w:t xml:space="preserve">1,38</w:t>
      </w:r>
    </w:p>
    <w:p>
      <w:pPr>
        <w:spacing w:after="0" w:line="62" w:lineRule="exact"/>
        <w:rPr>
          <w:sz w:val="20"/>
          <w:szCs w:val="20"/>
          <w:color w:val="auto"/>
        </w:rPr>
      </w:pPr>
    </w:p>
    <w:p>
      <w:pPr xmlns:w="http://schemas.openxmlformats.org/wordprocessingml/2006/main">
        <w:ind w:left="2740"/>
        <w:spacing w:after="0"/>
        <w:rPr>
          <w:sz w:val="20"/>
          <w:szCs w:val="20"/>
          <w:color w:val="auto"/>
        </w:rPr>
      </w:pPr>
      <w:r>
        <w:rPr xmlns:w="http://schemas.openxmlformats.org/wordprocessingml/2006/main">
          <w:rFonts w:ascii="Calibri" w:cs="Calibri" w:eastAsia="Calibri" w:hAnsi="Calibri"/>
          <w:sz w:val="16"/>
          <w:szCs w:val="16"/>
          <w:color w:val="595959"/>
        </w:rPr>
        <w:t xml:space="preserve">EUR/USD (Υποκείμενο μέσο)</w:t>
      </w:r>
    </w:p>
    <w:p>
      <w:pPr>
        <w:spacing w:after="0" w:line="261" w:lineRule="exact"/>
        <w:rPr>
          <w:sz w:val="20"/>
          <w:szCs w:val="20"/>
          <w:color w:val="auto"/>
        </w:rPr>
      </w:pPr>
    </w:p>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16"/>
          <w:szCs w:val="16"/>
          <w:color w:val="auto"/>
        </w:rPr>
        <w:t xml:space="preserve">*όπως απεικονίζεται, πριμοδότηση και p / l υποθέτει ένα μέγεθος σύμβασης 10.000</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3175</wp:posOffset>
                </wp:positionH>
                <wp:positionV relativeFrom="paragraph">
                  <wp:posOffset>299085</wp:posOffset>
                </wp:positionV>
                <wp:extent cx="6545580"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54558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25pt,23.55pt" to="515.65pt,23.55pt" o:allowincell="f" strokecolor="#000000" strokeweight="0.48pt"/>
            </w:pict>
          </mc:Fallback>
        </mc:AlternateConten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Υποτονική Κίνηση Της Αγοράς (</w:t>
      </w:r>
      <w:r>
        <w:rPr xmlns:w="http://schemas.openxmlformats.org/wordprocessingml/2006/main">
          <w:rFonts w:ascii="Calibri" w:cs="Calibri" w:eastAsia="Calibri" w:hAnsi="Calibri"/>
          <w:sz w:val="14"/>
          <w:szCs w:val="14"/>
          <w:u w:val="single" w:color="auto"/>
          <w:color w:val="FF0000"/>
        </w:rPr>
        <w:t xml:space="preserve">Κόκκινο Σημείο Του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1,36 δολάρια για το ευρώ</w:t>
      </w:r>
    </w:p>
    <w:p>
      <w:pPr>
        <w:spacing w:after="0" w:line="89" w:lineRule="exact"/>
        <w:rPr>
          <w:sz w:val="20"/>
          <w:szCs w:val="20"/>
          <w:color w:val="auto"/>
        </w:rPr>
      </w:pPr>
    </w:p>
    <w:p>
      <w:pPr xmlns:w="http://schemas.openxmlformats.org/wordprocessingml/2006/main">
        <w:ind w:left="300" w:right="340" w:hanging="150"/>
        <w:spacing w:after="0" w:line="223"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Μη ευνοϊκό για τον συγγραφέα:</w:t>
      </w:r>
      <w:r>
        <w:rPr xmlns:w="http://schemas.openxmlformats.org/wordprocessingml/2006/main">
          <w:rFonts w:ascii="Calibri" w:cs="Calibri" w:eastAsia="Calibri" w:hAnsi="Calibri"/>
          <w:sz w:val="14"/>
          <w:szCs w:val="14"/>
          <w:color w:val="auto"/>
        </w:rPr>
        <w:t xml:space="preserve"> -200 δολάρια, που αντιπροσωπεύουν την υποχρέωση να παραδώσει 10.000 ευρώ για 1,30 δολάρια ΗΠΑ το καθένα (όταν η επικρατούσα τιμή της αγοράς είναι 1,36 δολάρια ΗΠΑ το καθένα) συν $400 ασφάλιστρο έλαβε</w:t>
      </w:r>
    </w:p>
    <w:p>
      <w:pPr>
        <w:spacing w:after="0" w:line="145" w:lineRule="exact"/>
        <w:rPr>
          <w:rFonts w:ascii="Symbol" w:cs="Symbol" w:eastAsia="Symbol" w:hAnsi="Symbol"/>
          <w:sz w:val="14"/>
          <w:szCs w:val="14"/>
          <w:color w:val="auto"/>
        </w:rPr>
      </w:pPr>
    </w:p>
    <w:p>
      <w:pPr xmlns:w="http://schemas.openxmlformats.org/wordprocessingml/2006/main">
        <w:ind w:left="300" w:right="280" w:hanging="150"/>
        <w:spacing w:after="0" w:line="222" w:lineRule="auto"/>
        <w:tabs>
          <w:tab w:leader="none" w:pos="300" w:val="left"/>
        </w:tabs>
        <w:numPr>
          <w:ilvl w:val="0"/>
          <w:numId w:val="2"/>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Ευνοϊκή για τον κάτοχο:</w:t>
      </w:r>
      <w:r>
        <w:rPr xmlns:w="http://schemas.openxmlformats.org/wordprocessingml/2006/main">
          <w:rFonts w:ascii="Calibri" w:cs="Calibri" w:eastAsia="Calibri" w:hAnsi="Calibri"/>
          <w:sz w:val="14"/>
          <w:szCs w:val="14"/>
          <w:color w:val="auto"/>
        </w:rPr>
        <w:t xml:space="preserve"> +$200, που αντιπροσωπεύουν το δικαίωμα να λάβετε 10.000 ευρώ για 1,30 δολάρια ΗΠΑ το καθένα (όταν η επικρατούσα τιμή αγοράς είναι 1,36 δολάρια ΗΠΑ το καθένα) λιγότερο $400 πριμοδότηση πληρωμής</w:t>
      </w:r>
    </w:p>
    <w:p>
      <w:pPr>
        <w:spacing w:after="0" w:line="10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u w:val="single" w:color="auto"/>
          <w:color w:val="auto"/>
        </w:rPr>
        <w:t xml:space="preserve">P/L Μέτρια Υποκείμενη Κίνηση Της Αγοράς (</w:t>
      </w:r>
      <w:r>
        <w:rPr xmlns:w="http://schemas.openxmlformats.org/wordprocessingml/2006/main">
          <w:rFonts w:ascii="Calibri" w:cs="Calibri" w:eastAsia="Calibri" w:hAnsi="Calibri"/>
          <w:sz w:val="14"/>
          <w:szCs w:val="14"/>
          <w:u w:val="single" w:color="auto"/>
          <w:color w:val="00B050"/>
        </w:rPr>
        <w:t xml:space="preserve">Σημείο Πράσινου Οικοπέδου</w:t>
      </w:r>
      <w:r>
        <w:rPr xmlns:w="http://schemas.openxmlformats.org/wordprocessingml/2006/main">
          <w:rFonts w:ascii="Calibri" w:cs="Calibri" w:eastAsia="Calibri" w:hAnsi="Calibri"/>
          <w:sz w:val="14"/>
          <w:szCs w:val="14"/>
          <w:u w:val="single" w:color="auto"/>
          <w:color w:val="auto"/>
        </w:rPr>
        <w:t xml:space="preserve">)</w:t>
      </w:r>
    </w:p>
    <w:p>
      <w:pPr>
        <w:spacing w:after="0" w:line="6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4"/>
          <w:szCs w:val="14"/>
          <w:color w:val="auto"/>
        </w:rPr>
        <w:t xml:space="preserve">Τιμή αγοράς:</w:t>
      </w:r>
      <w:r>
        <w:rPr xmlns:w="http://schemas.openxmlformats.org/wordprocessingml/2006/main">
          <w:rFonts w:ascii="Calibri" w:cs="Calibri" w:eastAsia="Calibri" w:hAnsi="Calibri"/>
          <w:sz w:val="14"/>
          <w:szCs w:val="14"/>
          <w:color w:val="auto"/>
        </w:rPr>
        <w:t xml:space="preserve"> 1,29 δολάρια για το ευρώ</w:t>
      </w:r>
    </w:p>
    <w:p>
      <w:pPr>
        <w:spacing w:after="0" w:line="40" w:lineRule="exact"/>
        <w:rPr>
          <w:sz w:val="20"/>
          <w:szCs w:val="20"/>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Ευνοϊκό για το συγγραφέα:</w:t>
      </w:r>
      <w:r>
        <w:rPr xmlns:w="http://schemas.openxmlformats.org/wordprocessingml/2006/main">
          <w:rFonts w:ascii="Calibri" w:cs="Calibri" w:eastAsia="Calibri" w:hAnsi="Calibri"/>
          <w:sz w:val="14"/>
          <w:szCs w:val="14"/>
          <w:color w:val="auto"/>
        </w:rPr>
        <w:t xml:space="preserve"> + $ 400 απόδειξη της πριμοδότησης</w:t>
      </w:r>
    </w:p>
    <w:p>
      <w:pPr>
        <w:spacing w:after="0" w:line="40" w:lineRule="exact"/>
        <w:rPr>
          <w:rFonts w:ascii="Symbol" w:cs="Symbol" w:eastAsia="Symbol" w:hAnsi="Symbol"/>
          <w:sz w:val="14"/>
          <w:szCs w:val="14"/>
          <w:color w:val="auto"/>
        </w:rPr>
      </w:pPr>
    </w:p>
    <w:p>
      <w:pPr xmlns:w="http://schemas.openxmlformats.org/wordprocessingml/2006/main">
        <w:ind w:left="300" w:hanging="150"/>
        <w:spacing w:after="0"/>
        <w:tabs>
          <w:tab w:leader="none" w:pos="300" w:val="left"/>
        </w:tabs>
        <w:numPr>
          <w:ilvl w:val="0"/>
          <w:numId w:val="3"/>
        </w:numPr>
        <w:rPr>
          <w:rFonts w:ascii="Symbol" w:cs="Symbol" w:eastAsia="Symbol" w:hAnsi="Symbol"/>
          <w:sz w:val="14"/>
          <w:szCs w:val="14"/>
          <w:color w:val="auto"/>
        </w:rPr>
      </w:pPr>
      <w:r>
        <w:rPr xmlns:w="http://schemas.openxmlformats.org/wordprocessingml/2006/main">
          <w:rFonts w:ascii="Calibri" w:cs="Calibri" w:eastAsia="Calibri" w:hAnsi="Calibri"/>
          <w:sz w:val="14"/>
          <w:szCs w:val="14"/>
          <w:color w:val="auto"/>
        </w:rPr>
        <w:t xml:space="preserve">Δυσμενής για τον κάτοχο:</w:t>
      </w:r>
      <w:r>
        <w:rPr xmlns:w="http://schemas.openxmlformats.org/wordprocessingml/2006/main">
          <w:rFonts w:ascii="Calibri" w:cs="Calibri" w:eastAsia="Calibri" w:hAnsi="Calibri"/>
          <w:sz w:val="14"/>
          <w:szCs w:val="14"/>
          <w:color w:val="auto"/>
        </w:rPr>
        <w:t xml:space="preserve"> -Πληρωμή πριμοδότησης 400 $</w:t>
      </w:r>
    </w:p>
    <w:p>
      <w:pPr>
        <w:spacing w:after="0" w:line="101" w:lineRule="exact"/>
        <w:rPr>
          <w:sz w:val="20"/>
          <w:szCs w:val="20"/>
          <w:color w:val="auto"/>
        </w:rPr>
      </w:pPr>
    </w:p>
    <w:p>
      <w:pPr xmlns:w="http://schemas.openxmlformats.org/wordprocessingml/2006/main">
        <w:ind w:right="240"/>
        <w:spacing w:after="0" w:line="220" w:lineRule="auto"/>
        <w:rPr>
          <w:sz w:val="20"/>
          <w:szCs w:val="20"/>
          <w:color w:val="auto"/>
        </w:rPr>
      </w:pPr>
      <w:r>
        <w:rPr xmlns:w="http://schemas.openxmlformats.org/wordprocessingml/2006/main">
          <w:rFonts w:ascii="Calibri" w:cs="Calibri" w:eastAsia="Calibri" w:hAnsi="Calibri"/>
          <w:sz w:val="14"/>
          <w:szCs w:val="14"/>
          <w:u w:val="single" w:color="auto"/>
          <w:color w:val="auto"/>
        </w:rPr>
        <w:t xml:space="preserve">Το σημείο μεταβολής εννοιολογικού περιεχομένου προκύπτει όταν η επικρατούσα αγοραία τιμή του υποκείμενου μέσου είναι υψηλότερη από την τιμή άσκησης, έτσι ώστε το P/L να είναι μηδενικό τόσο για τον εγγραφέα όσο και για τον κάτοχο.</w:t>
      </w:r>
    </w:p>
    <w:p>
      <w:pPr>
        <w:spacing w:after="0" w:line="108" w:lineRule="exact"/>
        <w:rPr>
          <w:sz w:val="20"/>
          <w:szCs w:val="20"/>
          <w:color w:val="auto"/>
        </w:rPr>
      </w:pPr>
    </w:p>
    <w:p>
      <w:pPr>
        <w:sectPr>
          <w:pgSz w:w="12240" w:h="15840" w:orient="portrait"/>
          <w:cols w:equalWidth="0" w:num="2">
            <w:col w:w="5860" w:space="440"/>
            <w:col w:w="4020"/>
          </w:cols>
          <w:pgMar w:left="940" w:top="634" w:right="980" w:bottom="128" w:gutter="0" w:footer="0" w:header="0"/>
          <w:type w:val="continuous"/>
        </w:sectPr>
      </w:pPr>
    </w:p>
    <w:p>
      <w:pPr xmlns:w="http://schemas.openxmlformats.org/wordprocessingml/2006/main">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Το γράφημα απεικονίζει πώς θα μπορούσε να αποδώσει η επένδυσή σας.</w:t>
      </w:r>
      <w:r>
        <w:rPr xmlns:w="http://schemas.openxmlformats.org/wordprocessingml/2006/main">
          <w:rFonts w:ascii="Calibri" w:cs="Calibri" w:eastAsia="Calibri" w:hAnsi="Calibri"/>
          <w:sz w:val="22"/>
          <w:szCs w:val="22"/>
          <w:color w:val="auto"/>
        </w:rPr>
        <w:t xml:space="preserve"> Μπορείτε να το συγκρίνετε με τα γραφήματα απόσβεσης για άλλα παράγωγα.</w:t>
      </w:r>
      <w:r>
        <w:rPr xmlns:w="http://schemas.openxmlformats.org/wordprocessingml/2006/main">
          <w:rFonts w:ascii="Calibri" w:cs="Calibri" w:eastAsia="Calibri" w:hAnsi="Calibri"/>
          <w:sz w:val="22"/>
          <w:szCs w:val="22"/>
          <w:color w:val="auto"/>
        </w:rPr>
        <w:t xml:space="preserve"> Το γράφημα παρουσιάζει ένα εύρος πιθανών αποτελεσμάτων και δεν αποτελεί ακριβή ένδειξη του τι μπορεί να λάβετε.</w:t>
      </w:r>
      <w:r>
        <w:rPr xmlns:w="http://schemas.openxmlformats.org/wordprocessingml/2006/main">
          <w:rFonts w:ascii="Calibri" w:cs="Calibri" w:eastAsia="Calibri" w:hAnsi="Calibri"/>
          <w:sz w:val="22"/>
          <w:szCs w:val="22"/>
          <w:color w:val="auto"/>
        </w:rPr>
        <w:t xml:space="preserve"> Η επένδυση σε αυτό το προϊόν κρατά ότι νομίζετε ότι η υποκείμενη τιμή θα μειωθεί.</w:t>
      </w:r>
      <w:r>
        <w:rPr xmlns:w="http://schemas.openxmlformats.org/wordprocessingml/2006/main">
          <w:rFonts w:ascii="Calibri" w:cs="Calibri" w:eastAsia="Calibri" w:hAnsi="Calibri"/>
          <w:sz w:val="22"/>
          <w:szCs w:val="22"/>
          <w:color w:val="auto"/>
        </w:rPr>
        <w:t xml:space="preserve"> Αυτό που θα λάβετε ποικίλλει ανάλογα με το πώς η αξία των υποκείμενων αλλαγών με την πάροδο του χρόνου, η οποία εξαρτάται από τις μελλοντικές επιδόσεις της αγοράς που είναι αβέβαιες και δεν μπορούν να προβλεφθούν.</w:t>
      </w:r>
      <w:r>
        <w:rPr xmlns:w="http://schemas.openxmlformats.org/wordprocessingml/2006/main">
          <w:rFonts w:ascii="Calibri" w:cs="Calibri" w:eastAsia="Calibri" w:hAnsi="Calibri"/>
          <w:sz w:val="22"/>
          <w:szCs w:val="22"/>
          <w:color w:val="auto"/>
        </w:rPr>
        <w:t xml:space="preserve"> Για δύο τιμές του υποκείμενου μέσου, το γράφημα δείχνει ποιο θα ήταν το κέρδος ή η ζημία του προϊόντος.</w:t>
      </w:r>
      <w:r>
        <w:rPr xmlns:w="http://schemas.openxmlformats.org/wordprocessingml/2006/main">
          <w:rFonts w:ascii="Calibri" w:cs="Calibri" w:eastAsia="Calibri" w:hAnsi="Calibri"/>
          <w:sz w:val="22"/>
          <w:szCs w:val="22"/>
          <w:color w:val="auto"/>
        </w:rPr>
        <w:t xml:space="preserve"> Ο οριζόντιος άξονας εμφανίζει πιθανές τιμές του υποκείμενου και ο κατακόρυφος άξονας δείχνει το κέρδος ή τη ζημία της επιλογής.</w:t>
      </w:r>
      <w:r>
        <w:rPr xmlns:w="http://schemas.openxmlformats.org/wordprocessingml/2006/main">
          <w:rFonts w:ascii="Calibri" w:cs="Calibri" w:eastAsia="Calibri" w:hAnsi="Calibri"/>
          <w:sz w:val="22"/>
          <w:szCs w:val="22"/>
          <w:color w:val="auto"/>
        </w:rPr>
        <w:t xml:space="preserve"> Τα στοιχεία που παρουσιάζονται περιλαμβάνουν το σύνολο του κόστους του ίδιου του προϊόντος, αλλά μπορεί να μην περιλαμβάνουν όλα</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6897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897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1.4pt,1.6pt" o:allowincell="f" strokecolor="#000000" strokeweight="0.48pt"/>
            </w:pict>
          </mc:Fallback>
        </mc:AlternateContent>
      </w:r>
    </w:p>
    <w:p>
      <w:pPr>
        <w:sectPr>
          <w:pgSz w:w="12240" w:h="15840" w:orient="portrait"/>
          <w:cols w:equalWidth="0" w:num="1">
            <w:col w:w="10320"/>
          </w:cols>
          <w:pgMar w:left="940" w:top="634" w:right="980" w:bottom="128" w:gutter="0" w:footer="0" w:header="0"/>
          <w:type w:val="continuous"/>
        </w:sectPr>
      </w:pPr>
    </w:p>
    <w:bookmarkStart w:id="2" w:name="page3"/>
    <w:bookmarkEnd w:id="2"/>
    <w:p>
      <w:pPr xmlns:w="http://schemas.openxmlformats.org/wordprocessingml/2006/main">
        <w:ind w:left="220" w:right="50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414020</wp:posOffset>
                </wp:positionV>
                <wp:extent cx="6690360"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2.6pt" to="568.4pt,32.6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762000</wp:posOffset>
                </wp:positionV>
                <wp:extent cx="6690360"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0pt" to="568.4pt,60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6572885</wp:posOffset>
                </wp:positionV>
                <wp:extent cx="6690360" cy="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17.55pt" to="568.4pt,517.5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8113395</wp:posOffset>
                </wp:positionV>
                <wp:extent cx="6690360" cy="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8.85pt" to="568.4pt,638.8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411480</wp:posOffset>
                </wp:positionV>
                <wp:extent cx="0" cy="898525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2.4pt" to="41.85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7216140</wp:posOffset>
                </wp:positionH>
                <wp:positionV relativeFrom="page">
                  <wp:posOffset>411480</wp:posOffset>
                </wp:positionV>
                <wp:extent cx="0" cy="898525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98525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0" o:spid="_x0000_s105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68.2pt,32.4pt" to="568.2pt,739.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τα έξοδα που πληρώνετε στο σύμβουλό σας ή στο διανομέα και δεν λαμβάνουν υπόψη την προσωπική σας φορολογική κατάσταση, η οποία μπορεί επίσης να επηρεάσει το ποσό που λαμβάνετε.</w:t>
      </w:r>
    </w:p>
    <w:p>
      <w:pPr>
        <w:spacing w:after="0" w:line="77" w:lineRule="exact"/>
        <w:rPr>
          <w:sz w:val="20"/>
          <w:szCs w:val="20"/>
          <w:color w:val="auto"/>
        </w:rPr>
      </w:pPr>
    </w:p>
    <w:p>
      <w:pPr xmlns:w="http://schemas.openxmlformats.org/wordprocessingml/2006/main">
        <w:ind w:left="220" w:right="16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Τι συμβαίνει αν η OCC δεν είναι σε θέση να πληρώσει;</w:t>
      </w:r>
      <w:r>
        <w:rPr xmlns:w="http://schemas.openxmlformats.org/wordprocessingml/2006/main">
          <w:rFonts w:ascii="Calibri" w:cs="Calibri" w:eastAsia="Calibri" w:hAnsi="Calibri"/>
          <w:sz w:val="22"/>
          <w:szCs w:val="22"/>
          <w:color w:val="auto"/>
        </w:rPr>
        <w:t xml:space="preserve"> Οι κανόνες της OCC έχουν σχεδιαστεί έτσι ώστε η απόδοση όλων των δικαιωμάτων προαίρεσης να είναι μεταξύ της OCC και ενός ομίλου εταιρειών μεσιτείας που ονομάζονται εκκαθαριστικά μέλη και οι οποίες φέρουν τις θέσεις όλων των κατόχων δικαιωμάτων προαίρεσης και των συντακτών στους λογαριασμούς OCC τους.</w:t>
      </w:r>
      <w:r>
        <w:rPr xmlns:w="http://schemas.openxmlformats.org/wordprocessingml/2006/main">
          <w:rFonts w:ascii="Calibri" w:cs="Calibri" w:eastAsia="Calibri" w:hAnsi="Calibri"/>
          <w:sz w:val="22"/>
          <w:szCs w:val="22"/>
          <w:color w:val="auto"/>
        </w:rPr>
        <w:t xml:space="preserve"> Τα εκκαθαριστικά μέλη πρέπει να πληρούν τις οικονομικές απαιτήσεις της OCC για τη συμμετοχή και να παρέχουν ασφάλεια για τις θέσεις των προαιρετικών δημιουργών που κατέχουν.</w:t>
      </w:r>
      <w:r>
        <w:rPr xmlns:w="http://schemas.openxmlformats.org/wordprocessingml/2006/main">
          <w:rFonts w:ascii="Calibri" w:cs="Calibri" w:eastAsia="Calibri" w:hAnsi="Calibri"/>
          <w:sz w:val="22"/>
          <w:szCs w:val="22"/>
          <w:color w:val="auto"/>
        </w:rPr>
        <w:t xml:space="preserve"> Η μεσιτική επιχείρηση του συγγραφέα μπορεί να απαιτήσει από τον επενδυτή να παράσχει σχετική εξασφάλιση σε σχέση με τις θέσεις, όπως περιγράφεται κατωτέρω.</w:t>
      </w:r>
      <w:r>
        <w:rPr xmlns:w="http://schemas.openxmlformats.org/wordprocessingml/2006/main">
          <w:rFonts w:ascii="Calibri" w:cs="Calibri" w:eastAsia="Calibri" w:hAnsi="Calibri"/>
          <w:sz w:val="22"/>
          <w:szCs w:val="22"/>
          <w:color w:val="auto"/>
        </w:rPr>
        <w:t xml:space="preserve"> Μέσω μιας διαδικασίας νομικής ανανέωσης, η OCC γίνεται ο αγοραστής σε κάθε εκκαθαριστικό μέλος του πωλητή και ο πωλητής σε κάθε εκκαθαριστικό μέλος του αγοραστή.</w:t>
      </w:r>
      <w:r>
        <w:rPr xmlns:w="http://schemas.openxmlformats.org/wordprocessingml/2006/main">
          <w:rFonts w:ascii="Calibri" w:cs="Calibri" w:eastAsia="Calibri" w:hAnsi="Calibri"/>
          <w:sz w:val="22"/>
          <w:szCs w:val="22"/>
          <w:color w:val="auto"/>
        </w:rPr>
        <w:t xml:space="preserve"> Το σύστημα αυτό έχει σχεδιαστεί για να υποστηρίζει την απόδοση των δικαιωμάτων προαίρεσης και να διαχειρίζεται τον κίνδυνο αντισυμβαλλομένου για να διευκολύνει τον διακανονισμό των συναλλαγών δικαιωμάτων προαίρεσης σε περίπτωση που ένα εκκαθαριστικό μέλος δεν εκπληρώνει τις υποχρεώσεις του.</w:t>
      </w:r>
      <w:r>
        <w:rPr xmlns:w="http://schemas.openxmlformats.org/wordprocessingml/2006/main">
          <w:rFonts w:ascii="Calibri" w:cs="Calibri" w:eastAsia="Calibri" w:hAnsi="Calibri"/>
          <w:sz w:val="22"/>
          <w:szCs w:val="22"/>
          <w:color w:val="auto"/>
        </w:rPr>
        <w:t xml:space="preserve"> Ωστόσο, εξακολουθεί να υπάρχει κίνδυνος η OCC να μην έχει επαρκείς οικονομικούς πόρους για να διευθετήσει τις υποχρεώσεις και μπορεί να υποστεί ζημία μέχρι οποιοδήποτε ποσό που οφείλεται </w:t>
      </w:r>
      <w:r>
        <w:rPr xmlns:w="http://schemas.openxmlformats.org/wordprocessingml/2006/main">
          <w:rFonts w:ascii="Calibri" w:cs="Calibri" w:eastAsia="Calibri" w:hAnsi="Calibri"/>
          <w:sz w:val="22"/>
          <w:szCs w:val="22"/>
          <w:u w:val="single" w:color="auto"/>
          <w:color w:val="auto"/>
        </w:rPr>
        <w:t xml:space="preserve">σε</w:t>
      </w:r>
      <w:r>
        <w:rPr xmlns:w="http://schemas.openxmlformats.org/wordprocessingml/2006/main">
          <w:rFonts w:ascii="Calibri" w:cs="Calibri" w:eastAsia="Calibri" w:hAnsi="Calibri"/>
          <w:sz w:val="22"/>
          <w:szCs w:val="22"/>
          <w:color w:val="auto"/>
        </w:rPr>
        <w:t xml:space="preserve"> εσάς.</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2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Ποιο είναι το κόστος;</w:t>
            </w:r>
            <w:r>
              <w:rPr xmlns:w="http://schemas.openxmlformats.org/wordprocessingml/2006/main">
                <w:rFonts w:ascii="Calibri" w:cs="Calibri" w:eastAsia="Calibri" w:hAnsi="Calibri"/>
                <w:sz w:val="22"/>
                <w:szCs w:val="22"/>
                <w:color w:val="auto"/>
              </w:rPr>
              <w:t xml:space="preserve"> Το πρόσωπο που παρέχει συμβουλές ή πωλεί</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Διαχρονικά κόστη</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2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Αν βγείτε</w:t>
            </w:r>
          </w:p>
        </w:tc>
        <w:tc>
          <w:tcPr>
            <w:tcW w:w="14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προϊόν μπορεί να σας χρεώσει άλλες δαπάνες.</w:t>
            </w:r>
            <w:r>
              <w:rPr xmlns:w="http://schemas.openxmlformats.org/wordprocessingml/2006/main">
                <w:rFonts w:ascii="Calibri" w:cs="Calibri" w:eastAsia="Calibri" w:hAnsi="Calibri"/>
                <w:sz w:val="22"/>
                <w:szCs w:val="22"/>
                <w:color w:val="auto"/>
              </w:rPr>
              <w:t xml:space="preserve"> Αν ναι,</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Συνολικές δαπάνες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αυτό το άτομο θα σας δώσει πληροφορίες σχετικά με</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Ετήσιος αντίκτυπος κόστους</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2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Διάφορα</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2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αυτές οι δαπάνες και πώς επηρεάζουν την επένδυσή σας.</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20" w:type="dxa"/>
            <w:vAlign w:val="bottom"/>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Το συνολικό κόστος για τυποποιημένες επιλογές FX εξαρτάται</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Σύνθεση των εξόδων</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2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σε πολλαπλούς παράγοντες.</w:t>
            </w:r>
            <w:r>
              <w:rPr xmlns:w="http://schemas.openxmlformats.org/wordprocessingml/2006/main">
                <w:rFonts w:ascii="Calibri" w:cs="Calibri" w:eastAsia="Calibri" w:hAnsi="Calibri"/>
                <w:sz w:val="22"/>
                <w:szCs w:val="22"/>
                <w:color w:val="auto"/>
              </w:rPr>
              <w:t xml:space="preserve"> Ένα premium επιλογές είναι το κόστος</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Εφάπαξ κόστος κατά την είσοδο ή την έξοδο</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2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Ποσό (Αρχικό)</w:t>
            </w: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2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που καταβάλλονται από τον κάτοχο στο συγγραφέα.</w:t>
            </w:r>
            <w:r>
              <w:rPr xmlns:w="http://schemas.openxmlformats.org/wordprocessingml/2006/main">
                <w:rFonts w:ascii="Calibri" w:cs="Calibri" w:eastAsia="Calibri" w:hAnsi="Calibri"/>
                <w:sz w:val="22"/>
                <w:szCs w:val="22"/>
                <w:color w:val="auto"/>
              </w:rPr>
              <w:t xml:space="preserve"> Παράγοντες που έχουν</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(προσδιοριζόμενη από</w:t>
            </w:r>
          </w:p>
        </w:tc>
        <w:tc>
          <w:tcPr>
            <w:tcW w:w="80" w:type="dxa"/>
            <w:vAlign w:val="bottom"/>
          </w:tcPr>
          <w:p>
            <w:pPr>
              <w:spacing w:after="0"/>
              <w:rPr>
                <w:sz w:val="20"/>
                <w:szCs w:val="20"/>
                <w:color w:val="auto"/>
              </w:rPr>
            </w:pPr>
          </w:p>
        </w:tc>
        <w:tc>
          <w:tcPr>
            <w:tcW w:w="1420" w:type="dxa"/>
            <w:vAlign w:val="bottom"/>
            <w:tcBorders>
              <w:right w:val="single" w:sz="8" w:color="auto"/>
            </w:tcBorders>
          </w:tcPr>
          <w:p>
            <w:pPr>
              <w:spacing w:after="0"/>
              <w:rPr>
                <w:sz w:val="20"/>
                <w:szCs w:val="20"/>
                <w:color w:val="auto"/>
              </w:rPr>
            </w:pP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2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σημαντική επίπτωση στην πριμοδότηση περιλαμβάνουν, αλλά δεν</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εισόδου (ανά</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αγοραστής και πωλητής),</w:t>
            </w:r>
          </w:p>
        </w:tc>
        <w:tc>
          <w:tcPr>
            <w:tcW w:w="80" w:type="dxa"/>
            <w:vAlign w:val="bottom"/>
          </w:tcPr>
          <w:p>
            <w:pPr>
              <w:spacing w:after="0"/>
              <w:rPr>
                <w:sz w:val="15"/>
                <w:szCs w:val="15"/>
                <w:color w:val="auto"/>
              </w:rPr>
            </w:pPr>
          </w:p>
        </w:tc>
        <w:tc>
          <w:tcPr>
            <w:tcW w:w="1420" w:type="dxa"/>
            <w:vAlign w:val="bottom"/>
            <w:tcBorders>
              <w:right w:val="single" w:sz="8" w:color="auto"/>
            </w:tcBorders>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Επιτροπή (προσδιορίστηκε</w:t>
            </w: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περιορίζεται σε, τις σχετικές τιμές του υποκείμενου μέσου και</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2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άνοιγμα (καταχώριση)</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από μεσιτική εταιρεία)</w:t>
            </w:r>
          </w:p>
        </w:tc>
        <w:tc>
          <w:tcPr>
            <w:tcW w:w="80" w:type="dxa"/>
            <w:vAlign w:val="bottom"/>
          </w:tcPr>
          <w:p>
            <w:pPr>
              <w:spacing w:after="0"/>
              <w:rPr>
                <w:sz w:val="11"/>
                <w:szCs w:val="11"/>
                <w:color w:val="auto"/>
              </w:rPr>
            </w:pPr>
          </w:p>
        </w:tc>
        <w:tc>
          <w:tcPr>
            <w:tcW w:w="142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νομίσματα διαπραγμάτευσης, χρόνος μέχρι τη λήξη του δικαιώματος προαίρεσης,</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20" w:type="dxa"/>
            <w:vAlign w:val="bottom"/>
            <w:tcBorders>
              <w:bottom w:val="single" w:sz="8" w:color="auto"/>
              <w:right w:val="single" w:sz="8" w:color="auto"/>
            </w:tcBorders>
            <w:vMerge w:val="continue"/>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Κόστος εξόδου (ανά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2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20" w:type="dxa"/>
            <w:vAlign w:val="bottom"/>
            <w:tcBorders>
              <w:right w:val="single" w:sz="8" w:color="auto"/>
            </w:tcBorders>
          </w:tcPr>
          <w:p>
            <w:pPr>
              <w:spacing w:after="0"/>
              <w:rPr>
                <w:sz w:val="5"/>
                <w:szCs w:val="5"/>
                <w:color w:val="auto"/>
              </w:rPr>
            </w:pP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και την τιμή άσκησης.</w:t>
            </w:r>
            <w:r>
              <w:rPr xmlns:w="http://schemas.openxmlformats.org/wordprocessingml/2006/main">
                <w:rFonts w:ascii="Calibri" w:cs="Calibri" w:eastAsia="Calibri" w:hAnsi="Calibri"/>
                <w:sz w:val="22"/>
                <w:szCs w:val="22"/>
                <w:color w:val="auto"/>
              </w:rPr>
              <w:t xml:space="preserve"> Οι επιλογές που επενδύουν περιλαμβάνουν</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συναλλαγή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2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πρόσθετες δαπάνες που περιλαμβάνουν φορολογικά θέματα,</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κλείσιμο (έξοδος)</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Πριμοδότηση, Επιτροπή</w:t>
            </w:r>
          </w:p>
        </w:tc>
        <w:tc>
          <w:tcPr>
            <w:tcW w:w="80" w:type="dxa"/>
            <w:vAlign w:val="bottom"/>
            <w:tcBorders>
              <w:bottom w:val="single" w:sz="8" w:color="auto"/>
            </w:tcBorders>
          </w:tcPr>
          <w:p>
            <w:pPr>
              <w:spacing w:after="0"/>
              <w:rPr>
                <w:sz w:val="20"/>
                <w:szCs w:val="20"/>
                <w:color w:val="auto"/>
              </w:rPr>
            </w:pPr>
          </w:p>
        </w:tc>
        <w:tc>
          <w:tcPr>
            <w:tcW w:w="142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που μπορούν να επηρεάσουν</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2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Ποσό (ανά πάσα</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2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Τρέχον κόστος</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2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ώρα)</w:t>
            </w:r>
          </w:p>
        </w:tc>
        <w:tc>
          <w:tcPr>
            <w:tcW w:w="14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επηρεάζουν σημαντικά τα αποτελέσματα.</w:t>
            </w:r>
            <w:r>
              <w:rPr xmlns:w="http://schemas.openxmlformats.org/wordprocessingml/2006/main">
                <w:rFonts w:ascii="Calibri" w:cs="Calibri" w:eastAsia="Calibri" w:hAnsi="Calibri"/>
                <w:sz w:val="22"/>
                <w:szCs w:val="22"/>
                <w:color w:val="auto"/>
              </w:rPr>
              <w:t xml:space="preserve"> Κόστος συναλλαγής</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2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2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Διαχείριση</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20" w:type="dxa"/>
            <w:vAlign w:val="bottom"/>
            <w:tcBorders>
              <w:right w:val="single" w:sz="8" w:color="auto"/>
            </w:tcBorders>
          </w:tcPr>
          <w:p>
            <w:pPr>
              <w:spacing w:after="0"/>
              <w:rPr>
                <w:sz w:val="7"/>
                <w:szCs w:val="7"/>
                <w:color w:val="auto"/>
              </w:rPr>
            </w:pPr>
          </w:p>
        </w:tc>
        <w:tc>
          <w:tcPr>
            <w:tcW w:w="14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συνίστανται κυρίως σε προμήθειες (οι οποίες επιβάλλονται</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20" w:type="dxa"/>
            <w:vAlign w:val="bottom"/>
            <w:tcBorders>
              <w:right w:val="single" w:sz="8" w:color="auto"/>
            </w:tcBorders>
          </w:tcPr>
          <w:p>
            <w:pPr>
              <w:spacing w:after="0"/>
              <w:rPr>
                <w:sz w:val="10"/>
                <w:szCs w:val="10"/>
                <w:color w:val="auto"/>
              </w:rPr>
            </w:pPr>
          </w:p>
        </w:tc>
        <w:tc>
          <w:tcPr>
            <w:tcW w:w="14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2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τέλη και λοιπά</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20" w:type="dxa"/>
            <w:vAlign w:val="bottom"/>
            <w:tcBorders>
              <w:right w:val="single" w:sz="8" w:color="auto"/>
            </w:tcBorders>
          </w:tcPr>
          <w:p>
            <w:pPr>
              <w:spacing w:after="0"/>
              <w:rPr>
                <w:sz w:val="12"/>
                <w:szCs w:val="12"/>
                <w:color w:val="auto"/>
              </w:rPr>
            </w:pPr>
          </w:p>
        </w:tc>
        <w:tc>
          <w:tcPr>
            <w:tcW w:w="14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κατά το άνοιγμα, το κλείσιμο, την άσκηση και την ανάθεση</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20" w:type="dxa"/>
            <w:vAlign w:val="bottom"/>
            <w:tcBorders>
              <w:right w:val="single" w:sz="8" w:color="auto"/>
            </w:tcBorders>
          </w:tcPr>
          <w:p>
            <w:pPr>
              <w:spacing w:after="0"/>
              <w:rPr>
                <w:sz w:val="6"/>
                <w:szCs w:val="6"/>
                <w:color w:val="auto"/>
              </w:rPr>
            </w:pP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2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διοικητικό ή</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Δεν υπάρχει διαχείριση</w:t>
            </w:r>
          </w:p>
        </w:tc>
        <w:tc>
          <w:tcPr>
            <w:tcW w:w="80" w:type="dxa"/>
            <w:vAlign w:val="bottom"/>
          </w:tcPr>
          <w:p>
            <w:pPr>
              <w:spacing w:after="0"/>
              <w:rPr>
                <w:sz w:val="19"/>
                <w:szCs w:val="19"/>
                <w:color w:val="auto"/>
              </w:rPr>
            </w:pPr>
          </w:p>
        </w:tc>
        <w:tc>
          <w:tcPr>
            <w:tcW w:w="1420" w:type="dxa"/>
            <w:vAlign w:val="bottom"/>
            <w:tcBorders>
              <w:right w:val="single" w:sz="8" w:color="auto"/>
            </w:tcBorders>
          </w:tcPr>
          <w:p>
            <w:pPr>
              <w:spacing w:after="0"/>
              <w:rPr>
                <w:sz w:val="19"/>
                <w:szCs w:val="19"/>
                <w:color w:val="auto"/>
              </w:rPr>
            </w:pPr>
          </w:p>
        </w:tc>
        <w:tc>
          <w:tcPr>
            <w:tcW w:w="14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2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συναλλαγές), αλλά μπορεί επίσης να περιλαμβάνει περιθώριο και</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λειτουργικές δαπάνες</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τέλος</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2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2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έξοδα τόκων.</w:t>
            </w:r>
            <w:r>
              <w:rPr xmlns:w="http://schemas.openxmlformats.org/wordprocessingml/2006/main">
                <w:rFonts w:ascii="Calibri" w:cs="Calibri" w:eastAsia="Calibri" w:hAnsi="Calibri"/>
                <w:sz w:val="22"/>
                <w:szCs w:val="22"/>
                <w:color w:val="auto"/>
              </w:rPr>
              <w:t xml:space="preserve"> Περιθώριο σημαίνει τα στοιχεία ενεργητικού που πρέπει να</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Περιθώριο (οι απαιτήσεις είναι</w:t>
            </w:r>
          </w:p>
        </w:tc>
        <w:tc>
          <w:tcPr>
            <w:tcW w:w="80" w:type="dxa"/>
            <w:vAlign w:val="bottom"/>
          </w:tcPr>
          <w:p>
            <w:pPr>
              <w:spacing w:after="0"/>
              <w:rPr>
                <w:sz w:val="21"/>
                <w:szCs w:val="21"/>
                <w:color w:val="auto"/>
              </w:rPr>
            </w:pPr>
          </w:p>
        </w:tc>
        <w:tc>
          <w:tcPr>
            <w:tcW w:w="1420" w:type="dxa"/>
            <w:vAlign w:val="bottom"/>
            <w:tcBorders>
              <w:right w:val="single" w:sz="8" w:color="auto"/>
            </w:tcBorders>
          </w:tcPr>
          <w:p>
            <w:pPr>
              <w:spacing w:after="0"/>
              <w:rPr>
                <w:sz w:val="21"/>
                <w:szCs w:val="21"/>
                <w:color w:val="auto"/>
              </w:rPr>
            </w:pPr>
          </w:p>
        </w:tc>
        <w:tc>
          <w:tcPr>
            <w:tcW w:w="14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κατατίθεται από ένα συγγραφέα στην μεσιτική του εταιρεία ως</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υπόκεινται σε τροποποίηση, και</w:t>
            </w:r>
          </w:p>
        </w:tc>
        <w:tc>
          <w:tcPr>
            <w:tcW w:w="80" w:type="dxa"/>
            <w:vAlign w:val="bottom"/>
          </w:tcPr>
          <w:p>
            <w:pPr>
              <w:spacing w:after="0"/>
              <w:rPr>
                <w:sz w:val="14"/>
                <w:szCs w:val="14"/>
                <w:color w:val="auto"/>
              </w:rPr>
            </w:pPr>
          </w:p>
        </w:tc>
        <w:tc>
          <w:tcPr>
            <w:tcW w:w="142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Μεταβλητή</w:t>
            </w:r>
          </w:p>
        </w:tc>
        <w:tc>
          <w:tcPr>
            <w:tcW w:w="14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2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Κόστος συναλλαγής</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μπορεί να διαφέρει ανάλογα με τη μεσιτεία)</w:t>
            </w:r>
          </w:p>
        </w:tc>
        <w:tc>
          <w:tcPr>
            <w:tcW w:w="80" w:type="dxa"/>
            <w:vAlign w:val="bottom"/>
          </w:tcPr>
          <w:p>
            <w:pPr>
              <w:spacing w:after="0"/>
              <w:rPr>
                <w:sz w:val="8"/>
                <w:szCs w:val="8"/>
                <w:color w:val="auto"/>
              </w:rPr>
            </w:pPr>
          </w:p>
        </w:tc>
        <w:tc>
          <w:tcPr>
            <w:tcW w:w="142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(σε εξέλιξη)</w:t>
            </w: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εξασφαλίσεις για την υποχρέωση, κατά περίπτωση, αγοράς ή</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20" w:type="dxa"/>
            <w:vAlign w:val="bottom"/>
            <w:tcBorders>
              <w:right w:val="single" w:sz="8" w:color="auto"/>
            </w:tcBorders>
            <w:vMerge w:val="continue"/>
          </w:tcPr>
          <w:p>
            <w:pPr>
              <w:spacing w:after="0"/>
              <w:rPr>
                <w:sz w:val="9"/>
                <w:szCs w:val="9"/>
                <w:color w:val="auto"/>
              </w:rPr>
            </w:pPr>
          </w:p>
        </w:tc>
        <w:tc>
          <w:tcPr>
            <w:tcW w:w="14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2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20" w:type="dxa"/>
            <w:vAlign w:val="bottom"/>
            <w:tcBorders>
              <w:bottom w:val="single" w:sz="8" w:color="auto"/>
              <w:right w:val="single" w:sz="8" w:color="auto"/>
            </w:tcBorders>
          </w:tcPr>
          <w:p>
            <w:pPr>
              <w:spacing w:after="0" w:line="20" w:lineRule="exact"/>
              <w:rPr>
                <w:sz w:val="1"/>
                <w:szCs w:val="1"/>
                <w:color w:val="auto"/>
              </w:rPr>
            </w:pPr>
          </w:p>
        </w:tc>
        <w:tc>
          <w:tcPr>
            <w:tcW w:w="1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2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Παρεμπίπτοντα έξοδα που αναλαμβάνονται υπό ειδικές συνθήκες</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20" w:type="dxa"/>
            <w:vAlign w:val="bottom"/>
            <w:tcBorders>
              <w:right w:val="single" w:sz="8" w:color="auto"/>
            </w:tcBorders>
            <w:shd w:val="clear" w:color="auto" w:fill="DADADA"/>
          </w:tcPr>
          <w:p>
            <w:pPr>
              <w:spacing w:after="0"/>
              <w:rPr>
                <w:sz w:val="8"/>
                <w:szCs w:val="8"/>
                <w:color w:val="auto"/>
              </w:rPr>
            </w:pPr>
          </w:p>
        </w:tc>
        <w:tc>
          <w:tcPr>
            <w:tcW w:w="14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2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πωλούν τον υποκείμενο τόκο ή καταβάλλουν τον διακανονισμό τοις μετρητοίς</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20" w:type="dxa"/>
            <w:vAlign w:val="bottom"/>
            <w:tcBorders>
              <w:bottom w:val="single" w:sz="8" w:color="auto"/>
              <w:right w:val="single" w:sz="8" w:color="auto"/>
            </w:tcBorders>
            <w:shd w:val="clear" w:color="auto" w:fill="DADADA"/>
          </w:tcPr>
          <w:p>
            <w:pPr>
              <w:spacing w:after="0"/>
              <w:rPr>
                <w:sz w:val="15"/>
                <w:szCs w:val="15"/>
                <w:color w:val="auto"/>
              </w:rPr>
            </w:pPr>
          </w:p>
        </w:tc>
        <w:tc>
          <w:tcPr>
            <w:tcW w:w="1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2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Τέλη εκτέλεσης</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Κανένα</w:t>
            </w:r>
          </w:p>
        </w:tc>
        <w:tc>
          <w:tcPr>
            <w:tcW w:w="80" w:type="dxa"/>
            <w:vAlign w:val="bottom"/>
          </w:tcPr>
          <w:p>
            <w:pPr>
              <w:spacing w:after="0"/>
              <w:rPr>
                <w:sz w:val="6"/>
                <w:szCs w:val="6"/>
                <w:color w:val="auto"/>
              </w:rPr>
            </w:pPr>
          </w:p>
        </w:tc>
        <w:tc>
          <w:tcPr>
            <w:tcW w:w="142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Δ/Ι</w:t>
            </w:r>
          </w:p>
        </w:tc>
        <w:tc>
          <w:tcPr>
            <w:tcW w:w="14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2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ποσό.</w:t>
            </w:r>
            <w:r>
              <w:rPr xmlns:w="http://schemas.openxmlformats.org/wordprocessingml/2006/main">
                <w:rFonts w:ascii="Calibri" w:cs="Calibri" w:eastAsia="Calibri" w:hAnsi="Calibri"/>
                <w:sz w:val="22"/>
                <w:szCs w:val="22"/>
                <w:color w:val="auto"/>
              </w:rPr>
              <w:t xml:space="preserve"> Αν ένα δικαίωμα προαίρεσης ασκηθεί και</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20" w:type="dxa"/>
            <w:vAlign w:val="bottom"/>
            <w:tcBorders>
              <w:bottom w:val="single" w:sz="8" w:color="auto"/>
              <w:right w:val="single" w:sz="8" w:color="auto"/>
            </w:tcBorders>
            <w:vMerge w:val="continue"/>
          </w:tcPr>
          <w:p>
            <w:pPr>
              <w:spacing w:after="0"/>
              <w:rPr>
                <w:sz w:val="18"/>
                <w:szCs w:val="18"/>
                <w:color w:val="auto"/>
              </w:rPr>
            </w:pPr>
          </w:p>
        </w:tc>
        <w:tc>
          <w:tcPr>
            <w:tcW w:w="14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102" w:lineRule="exact"/>
        <w:rPr>
          <w:sz w:val="20"/>
          <w:szCs w:val="20"/>
          <w:color w:val="auto"/>
        </w:rPr>
      </w:pPr>
    </w:p>
    <w:p>
      <w:pPr xmlns:w="http://schemas.openxmlformats.org/wordprocessingml/2006/main">
        <w:jc w:val="both"/>
        <w:ind w:left="220" w:right="220"/>
        <w:spacing w:after="0" w:line="210" w:lineRule="auto"/>
        <w:rPr>
          <w:sz w:val="20"/>
          <w:szCs w:val="20"/>
          <w:color w:val="auto"/>
        </w:rPr>
      </w:pPr>
      <w:r>
        <w:rPr xmlns:w="http://schemas.openxmlformats.org/wordprocessingml/2006/main">
          <w:rFonts w:ascii="Calibri" w:cs="Calibri" w:eastAsia="Calibri" w:hAnsi="Calibri"/>
          <w:sz w:val="22"/>
          <w:szCs w:val="22"/>
          <w:color w:val="auto"/>
        </w:rPr>
        <w:t xml:space="preserve">η συσκευή εγγραφής ενδέχεται να επιβαρυνθεί με πρόσθετα έξοδα.</w:t>
      </w:r>
      <w:r>
        <w:rPr xmlns:w="http://schemas.openxmlformats.org/wordprocessingml/2006/main">
          <w:rFonts w:ascii="Calibri" w:cs="Calibri" w:eastAsia="Calibri" w:hAnsi="Calibri"/>
          <w:sz w:val="22"/>
          <w:szCs w:val="22"/>
          <w:color w:val="auto"/>
        </w:rPr>
        <w:t xml:space="preserve"> Ξεχωριστά από το κόστος των επενδυτών, OCC επιβαρύνσεις που σχετίζονται με τα τέλη για την εκκαθάριση αυτού του προϊόντος στα εκκαθαριστικά μέλη της, αλλά όχι απευθείας σε σας:</w:t>
      </w:r>
      <w:r>
        <w:rPr xmlns:w="http://schemas.openxmlformats.org/wordprocessingml/2006/main">
          <w:rFonts w:ascii="Calibri" w:cs="Calibri" w:eastAsia="Calibri" w:hAnsi="Calibri"/>
          <w:sz w:val="22"/>
          <w:szCs w:val="22"/>
          <w:color w:val="0563C1"/>
        </w:rPr>
        <w:t xml:space="preserv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1"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Πόσο καιρό θα πρέπει να το κρατήσει και μπορώ να βγω από μια συναλλαγή νωρίς (μπορώ να πάρω τα χρήματα έξω νωρίς);</w:t>
      </w:r>
    </w:p>
    <w:p>
      <w:pPr>
        <w:spacing w:after="0" w:line="67" w:lineRule="exact"/>
        <w:rPr>
          <w:sz w:val="20"/>
          <w:szCs w:val="20"/>
          <w:color w:val="auto"/>
        </w:rPr>
      </w:pPr>
    </w:p>
    <w:p>
      <w:pPr xmlns:w="http://schemas.openxmlformats.org/wordprocessingml/2006/main">
        <w:ind w:left="220" w:right="20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Συνιστώμενη περίοδος διατήρησης:</w:t>
      </w:r>
      <w:r>
        <w:rPr xmlns:w="http://schemas.openxmlformats.org/wordprocessingml/2006/main">
          <w:rFonts w:ascii="Calibri" w:cs="Calibri" w:eastAsia="Calibri" w:hAnsi="Calibri"/>
          <w:sz w:val="22"/>
          <w:szCs w:val="22"/>
          <w:b w:val="1"/>
          <w:bCs w:val="1"/>
          <w:color w:val="auto"/>
        </w:rPr>
        <w:t xml:space="preserve"> Καμία.</w:t>
      </w:r>
      <w:r>
        <w:rPr xmlns:w="http://schemas.openxmlformats.org/wordprocessingml/2006/main">
          <w:rFonts w:ascii="Calibri" w:cs="Calibri" w:eastAsia="Calibri" w:hAnsi="Calibri"/>
          <w:sz w:val="22"/>
          <w:szCs w:val="22"/>
          <w:color w:val="auto"/>
        </w:rPr>
        <w:t xml:space="preserve"> Η απόφαση άσκησης δικαιώματος προαίρεσης αποτελεί βασική επενδυτική απόφαση για έναν κάτοχο, όπως είναι και η απόφαση τόσο για τους κατόχους όσο και για τους εγγραφείς δικαιώματος προαίρεσης να κλείσουν μια υπάρχουσα θέση προαίρεσης πριν από τη λήξη του δικαιώματος προαίρεσης ή ασκηθεί και εκχωρηθεί με την εκτέλεση μιας συναλλαγής κλεισίματος.</w:t>
      </w:r>
      <w:r>
        <w:rPr xmlns:w="http://schemas.openxmlformats.org/wordprocessingml/2006/main">
          <w:rFonts w:ascii="Calibri" w:cs="Calibri" w:eastAsia="Calibri" w:hAnsi="Calibri"/>
          <w:sz w:val="22"/>
          <w:szCs w:val="22"/>
          <w:color w:val="auto"/>
        </w:rPr>
        <w:t xml:space="preserve"> Κατά συνέπεια, οι επενδυτές έχουν την αποκλειστική ευθύνη να καθορίζουν αν και πότε θα πρέπει να ασκούν τη σύμβαση ή τις συμβάσεις δικαιωμάτων προαίρεσης και να καθορίζουν αν θα κλείσει μια υπάρχουσα θέση δικαιώματος προαίρεσης.</w:t>
      </w:r>
      <w:r>
        <w:rPr xmlns:w="http://schemas.openxmlformats.org/wordprocessingml/2006/main">
          <w:rFonts w:ascii="Calibri" w:cs="Calibri" w:eastAsia="Calibri" w:hAnsi="Calibri"/>
          <w:sz w:val="22"/>
          <w:szCs w:val="22"/>
          <w:color w:val="auto"/>
        </w:rPr>
        <w:t xml:space="preserve"> Οι επενδυτές που κλείνουν μια υπάρχουσα θέση δικαιώματος προαίρεσης παραιτούνται από κάθε μεταγενέστερο κέρδος ή ζημία που σχετίζεται με το δικαίωμα προαίρεσης.</w:t>
      </w:r>
      <w:r>
        <w:rPr xmlns:w="http://schemas.openxmlformats.org/wordprocessingml/2006/main">
          <w:rFonts w:ascii="Calibri" w:cs="Calibri" w:eastAsia="Calibri" w:hAnsi="Calibri"/>
          <w:sz w:val="22"/>
          <w:szCs w:val="22"/>
          <w:color w:val="auto"/>
        </w:rPr>
        <w:t xml:space="preserve"> Όλες οι επιλογές έχουν ημερομηνία λήξης μετά την οποία η επιλογή δεν θα έχει τιμή και δεν θα υπάρχει πλέον.</w:t>
      </w:r>
      <w:r>
        <w:rPr xmlns:w="http://schemas.openxmlformats.org/wordprocessingml/2006/main">
          <w:rFonts w:ascii="Calibri" w:cs="Calibri" w:eastAsia="Calibri" w:hAnsi="Calibri"/>
          <w:sz w:val="22"/>
          <w:szCs w:val="22"/>
          <w:color w:val="auto"/>
        </w:rPr>
        <w:t xml:space="preserve"> Οι κάτοχοι δικαιωμάτων προαίρεσης αμερικανικού τύπου που επιθυμούν να ασκήσουν πριν από την ημερομηνία λήξης μπορούν να το πράξουν παρέχοντας οδηγίες άσκησης στον μεσίτη τους, σύμφωνα με τη διαδικασία του μεσίτη.</w:t>
      </w:r>
    </w:p>
    <w:p>
      <w:pPr>
        <w:spacing w:after="0" w:line="81" w:lineRule="exact"/>
        <w:rPr>
          <w:sz w:val="20"/>
          <w:szCs w:val="20"/>
          <w:color w:val="auto"/>
        </w:rPr>
      </w:pPr>
    </w:p>
    <w:p>
      <w:pPr xmlns:w="http://schemas.openxmlformats.org/wordprocessingml/2006/main">
        <w:ind w:left="220" w:right="4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Πώς μπορώ να παραπονεθώ;</w:t>
      </w:r>
      <w:r>
        <w:rPr xmlns:w="http://schemas.openxmlformats.org/wordprocessingml/2006/main">
          <w:rFonts w:ascii="Calibri" w:cs="Calibri" w:eastAsia="Calibri" w:hAnsi="Calibri"/>
          <w:sz w:val="22"/>
          <w:szCs w:val="22"/>
          <w:color w:val="auto"/>
        </w:rPr>
        <w:t xml:space="preserve"> Οι επενδυτές μπορούν να επικοινωνούν με την OCC στη διεύθυνση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Οι επενδυτές μπορούν επίσης να υποβάλουν καταγγελία στη ρυθμιστική αρχή του χρηματοπιστωτικού κλάδου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ή στην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16" w:lineRule="exact"/>
        <w:rPr>
          <w:sz w:val="20"/>
          <w:szCs w:val="20"/>
          <w:color w:val="auto"/>
        </w:rPr>
      </w:pPr>
    </w:p>
    <w:tbl>
      <w:tblPr>
        <w:tblLayout w:type="fixed"/>
        <w:tblInd w:w="340" w:type="dxa"/>
        <w:tblCellMar>
          <w:top w:w="0" w:type="dxa"/>
          <w:left w:w="0" w:type="dxa"/>
          <w:bottom w:w="0" w:type="dxa"/>
          <w:right w:w="0" w:type="dxa"/>
        </w:tblCellMar>
      </w:tblPr>
      <w:tr>
        <w:trPr>
          <w:trHeight w:val="285"/>
        </w:trPr>
        <w:tc>
          <w:tcPr>
            <w:tcW w:w="4680" w:type="dxa"/>
            <w:vAlign w:val="bottom"/>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Κέντρο Καταγγελιών Επενδυτών</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Επιτροπή Κεφαλαιαγοράς ΗΠΑ</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9509 Κι Γουέστ Άβενιου</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Γραφείο Εκπαίδευσης και Υπεράσπισης Επενδυτών</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Rockville, MD 20850-3329</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rPr>
              <w:t xml:space="preserve">100 F Street, N.E.</w:t>
            </w:r>
          </w:p>
        </w:tc>
      </w:tr>
      <w:tr>
        <w:trPr>
          <w:trHeight w:val="300"/>
        </w:trPr>
        <w:tc>
          <w:tcPr>
            <w:tcW w:w="4680" w:type="dxa"/>
            <w:vAlign w:val="bottom"/>
          </w:tcPr>
          <w:p>
            <w:pPr xmlns:w="http://schemas.openxmlformats.org/wordprocessingml/2006/main">
              <w:ind w:left="40"/>
              <w:spacing w:after="0"/>
              <w:rPr>
                <w:sz w:val="20"/>
                <w:szCs w:val="20"/>
                <w:color w:val="auto"/>
              </w:rPr>
            </w:pPr>
            <w:r>
              <w:rPr xmlns:w="http://schemas.openxmlformats.org/wordprocessingml/2006/main">
                <w:rFonts w:ascii="Calibri" w:cs="Calibri" w:eastAsia="Calibri" w:hAnsi="Calibri"/>
                <w:sz w:val="22"/>
                <w:szCs w:val="22"/>
                <w:color w:val="auto"/>
              </w:rPr>
              <w:t xml:space="preserve">Τηλέφωνο:</w:t>
            </w:r>
            <w:r>
              <w:rPr xmlns:w="http://schemas.openxmlformats.org/wordprocessingml/2006/main">
                <w:rFonts w:ascii="Calibri" w:cs="Calibri" w:eastAsia="Calibri" w:hAnsi="Calibri"/>
                <w:sz w:val="22"/>
                <w:szCs w:val="22"/>
                <w:color w:val="auto"/>
              </w:rPr>
              <w:t xml:space="preserve"> (240) 386-ΒΟΗΘΕΙΑ (4357) Φαξ:</w:t>
            </w:r>
            <w:r>
              <w:rPr xmlns:w="http://schemas.openxmlformats.org/wordprocessingml/2006/main">
                <w:rFonts w:ascii="Calibri" w:cs="Calibri" w:eastAsia="Calibri" w:hAnsi="Calibri"/>
                <w:sz w:val="22"/>
                <w:szCs w:val="22"/>
                <w:color w:val="auto"/>
              </w:rPr>
              <w:t xml:space="preserve"> (86) 397-3290</w:t>
            </w:r>
          </w:p>
        </w:tc>
        <w:tc>
          <w:tcPr>
            <w:tcW w:w="4520" w:type="dxa"/>
            <w:vAlign w:val="bottom"/>
          </w:tcPr>
          <w:p>
            <w:pPr xmlns:w="http://schemas.openxmlformats.org/wordprocessingml/2006/main">
              <w:ind w:left="120"/>
              <w:spacing w:after="0"/>
              <w:rPr>
                <w:sz w:val="20"/>
                <w:szCs w:val="20"/>
                <w:color w:val="auto"/>
              </w:rPr>
            </w:pPr>
            <w:r>
              <w:rPr xmlns:w="http://schemas.openxmlformats.org/wordprocessingml/2006/main">
                <w:rFonts w:ascii="Calibri" w:cs="Calibri" w:eastAsia="Calibri" w:hAnsi="Calibri"/>
                <w:sz w:val="22"/>
                <w:szCs w:val="22"/>
                <w:color w:val="auto"/>
                <w:w w:val="99"/>
              </w:rPr>
              <w:t xml:space="preserve">Ουάσινγκτον, DC 20549-0213 Φαξ:</w:t>
            </w:r>
            <w:r>
              <w:rPr xmlns:w="http://schemas.openxmlformats.org/wordprocessingml/2006/main">
                <w:rFonts w:ascii="Calibri" w:cs="Calibri" w:eastAsia="Calibri" w:hAnsi="Calibri"/>
                <w:sz w:val="22"/>
                <w:szCs w:val="22"/>
                <w:color w:val="auto"/>
                <w:w w:val="99"/>
              </w:rPr>
              <w:t xml:space="preserve"> (202) 772-9295</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16510</wp:posOffset>
                </wp:positionV>
                <wp:extent cx="6690360" cy="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69036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3pt" to="532.4pt,1.3pt" o:allowincell="f" strokecolor="#000000" strokeweight="0.4799pt"/>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Με επιφύλαξη κάθε νόμιμου δικαιώματος.</w:t>
      </w:r>
    </w:p>
    <w:sectPr>
      <w:pgSz w:w="12240" w:h="15840" w:orient="portrait"/>
      <w:cols w:equalWidth="0" w:num="1">
        <w:col w:w="10640"/>
      </w:cols>
      <w:pgMar w:left="720" w:top="702" w:right="880" w:bottom="23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7CE90CB"/>
    <w:multiLevelType w:val="hybridMultilevel"/>
    <w:lvl w:ilvl="0">
      <w:lvlJc w:val="left"/>
      <w:lvlText w:val="·"/>
      <w:numFmt w:val="bullet"/>
      <w:start w:val="1"/>
    </w:lvl>
  </w:abstractNum>
  <w:abstractNum w:abstractNumId="1">
    <w:nsid w:val="21971E20"/>
    <w:multiLevelType w:val="hybridMultilevel"/>
    <w:lvl w:ilvl="0">
      <w:lvlJc w:val="left"/>
      <w:lvlText w:val="·"/>
      <w:numFmt w:val="bullet"/>
      <w:start w:val="1"/>
    </w:lvl>
  </w:abstractNum>
  <w:abstractNum w:abstractNumId="2">
    <w:nsid w:val="3A27FF95"/>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2024-05-20T14:38:12Z</dcterms:created>
  <dcterms:modified xsi:type="dcterms:W3CDTF">2024-05-20T14:38:12Z</dcterms:modified>
</cp:coreProperties>
</file>