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Arial" w:cs="Arial" w:eastAsia="Arial" w:hAnsi="Arial"/>
          <w:sz w:val="25"/>
          <w:szCs w:val="25"/>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635000</wp:posOffset>
            </wp:positionH>
            <wp:positionV relativeFrom="page">
              <wp:posOffset>381000</wp:posOffset>
            </wp:positionV>
            <wp:extent cx="1778000" cy="44958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778000" cy="449580"/>
                    </a:xfrm>
                    <a:prstGeom prst="rect">
                      <a:avLst/>
                    </a:prstGeom>
                    <a:noFill/>
                  </pic:spPr>
                </pic:pic>
              </a:graphicData>
            </a:graphic>
          </wp:anchor>
        </w:drawing>
      </w:r>
      <w:r>
        <w:rPr xmlns:w="http://schemas.openxmlformats.org/wordprocessingml/2006/main">
          <w:rFonts w:ascii="Arial" w:cs="Arial" w:eastAsia="Arial" w:hAnsi="Arial"/>
          <w:sz w:val="25"/>
          <w:szCs w:val="25"/>
          <w:color w:val="auto"/>
        </w:rPr>
        <w:t xml:space="preserve">Βασικές πληροφορίες για τους επενδυτές</w:t>
      </w:r>
    </w:p>
    <w:p>
      <w:pPr>
        <w:spacing w:after="0" w:line="125" w:lineRule="exact"/>
        <w:rPr>
          <w:sz w:val="24"/>
          <w:szCs w:val="24"/>
          <w:color w:val="auto"/>
        </w:rPr>
      </w:pPr>
    </w:p>
    <w:p>
      <w:pPr xmlns:w="http://schemas.openxmlformats.org/wordprocessingml/2006/main">
        <w:jc w:val="both"/>
        <w:spacing w:after="0" w:line="280" w:lineRule="auto"/>
        <w:rPr>
          <w:sz w:val="20"/>
          <w:szCs w:val="20"/>
          <w:color w:val="auto"/>
        </w:rPr>
      </w:pPr>
      <w:r>
        <w:rPr xmlns:w="http://schemas.openxmlformats.org/wordprocessingml/2006/main">
          <w:rFonts w:ascii="Arial" w:cs="Arial" w:eastAsia="Arial" w:hAnsi="Arial"/>
          <w:sz w:val="16"/>
          <w:szCs w:val="16"/>
          <w:color w:val="auto"/>
        </w:rPr>
        <w:t xml:space="preserve">Το παρόν έγγραφο παρέχει βασικές πληροφορίες για τους επενδυτές σχετικά με τον εν λόγω ΟΣΕΚΑ (το "Ταμείο").</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Δεν είναι υλικό μάρκετινγκ.</w:t>
      </w:r>
      <w:r>
        <w:rPr xmlns:w="http://schemas.openxmlformats.org/wordprocessingml/2006/main">
          <w:rFonts w:ascii="Arial" w:cs="Arial" w:eastAsia="Arial" w:hAnsi="Arial"/>
          <w:sz w:val="16"/>
          <w:szCs w:val="16"/>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6"/>
          <w:szCs w:val="16"/>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34290</wp:posOffset>
                </wp:positionV>
                <wp:extent cx="6290310" cy="4826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482600"/>
                        </a:xfrm>
                        <a:prstGeom prst="rect">
                          <a:avLst/>
                        </a:prstGeom>
                        <a:solidFill>
                          <a:srgbClr val="EE7F00"/>
                        </a:solidFill>
                      </wps:spPr>
                      <wps:bodyPr/>
                    </wps:wsp>
                  </a:graphicData>
                </a:graphic>
              </wp:anchor>
            </w:drawing>
          </mc:Choice>
          <mc:Fallback>
            <w:pict>
              <v:rect id="Shape 2" o:spid="_x0000_s1027" style="position:absolute;margin-left:0pt;margin-top:2.7pt;width:495.3pt;height:3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w:r>
    </w:p>
    <w:p>
      <w:pPr>
        <w:spacing w:after="0" w:line="70" w:lineRule="exact"/>
        <w:rPr>
          <w:sz w:val="24"/>
          <w:szCs w:val="24"/>
          <w:color w:val="auto"/>
        </w:rPr>
      </w:pPr>
    </w:p>
    <w:p>
      <w:pPr xmlns:w="http://schemas.openxmlformats.org/wordprocessingml/2006/main">
        <w:ind w:left="60" w:right="4220"/>
        <w:spacing w:after="0" w:line="321" w:lineRule="auto"/>
        <w:rPr>
          <w:sz w:val="20"/>
          <w:szCs w:val="20"/>
          <w:color w:val="auto"/>
        </w:rPr>
      </w:pPr>
      <w:r>
        <w:rPr xmlns:w="http://schemas.openxmlformats.org/wordprocessingml/2006/main">
          <w:rFonts w:ascii="Arial" w:cs="Arial" w:eastAsia="Arial" w:hAnsi="Arial"/>
          <w:sz w:val="24"/>
          <w:szCs w:val="24"/>
          <w:b w:val="1"/>
          <w:bCs w:val="1"/>
          <w:color w:val="FFFFFF"/>
          <w:shd w:val="clear" w:color="auto" w:fill="EE7F00"/>
        </w:rPr>
        <w:t xml:space="preserve">Amundi MSCI Water ESG Screening ΟΣΕΚΑ ETF ένα επιμέρους κεφάλαιο της MULTI UNITS FRANCE SICAV</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55245</wp:posOffset>
                </wp:positionV>
                <wp:extent cx="6290310" cy="29845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298450"/>
                        </a:xfrm>
                        <a:prstGeom prst="rect">
                          <a:avLst/>
                        </a:prstGeom>
                        <a:solidFill>
                          <a:srgbClr val="EE7F00"/>
                        </a:solidFill>
                      </wps:spPr>
                      <wps:bodyPr/>
                    </wps:wsp>
                  </a:graphicData>
                </a:graphic>
              </wp:anchor>
            </w:drawing>
          </mc:Choice>
          <mc:Fallback>
            <w:pict>
              <v:rect id="Shape 3" o:spid="_x0000_s1028" style="position:absolute;margin-left:0pt;margin-top:4.35pt;width:495.3pt;height:23.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w:r>
    </w:p>
    <w:p>
      <w:pPr>
        <w:spacing w:after="0" w:line="102"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5"/>
          <w:szCs w:val="25"/>
          <w:b w:val="1"/>
          <w:bCs w:val="1"/>
          <w:color w:val="FFFFFF"/>
          <w:shd w:val="clear" w:color="auto" w:fill="EE7F00"/>
        </w:rPr>
        <w:t xml:space="preserve">Amundi MSCI Water ESG Screening ΟΣΕΚΑ Διανομή ETF</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118745</wp:posOffset>
                </wp:positionV>
                <wp:extent cx="6286500" cy="41910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86500" cy="419100"/>
                        </a:xfrm>
                        <a:prstGeom prst="rect">
                          <a:avLst/>
                        </a:prstGeom>
                        <a:solidFill>
                          <a:srgbClr val="EE7F00"/>
                        </a:solidFill>
                      </wps:spPr>
                      <wps:bodyPr/>
                    </wps:wsp>
                  </a:graphicData>
                </a:graphic>
              </wp:anchor>
            </w:drawing>
          </mc:Choice>
          <mc:Fallback>
            <w:pict>
              <v:rect id="Shape 4" o:spid="_x0000_s1029" style="position:absolute;margin-left:0pt;margin-top:9.35pt;width:495pt;height:33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w:r>
    </w:p>
    <w:p>
      <w:pPr>
        <w:spacing w:after="0" w:line="171"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2"/>
          <w:szCs w:val="22"/>
          <w:b w:val="1"/>
          <w:bCs w:val="1"/>
          <w:color w:val="FFFFFF"/>
        </w:rPr>
        <w:t xml:space="preserve">Κωδικός ISIN:</w:t>
      </w:r>
      <w:r>
        <w:rPr xmlns:w="http://schemas.openxmlformats.org/wordprocessingml/2006/main">
          <w:rFonts w:ascii="Arial" w:cs="Arial" w:eastAsia="Arial" w:hAnsi="Arial"/>
          <w:sz w:val="22"/>
          <w:szCs w:val="22"/>
          <w:b w:val="1"/>
          <w:bCs w:val="1"/>
          <w:color w:val="FFFFFF"/>
        </w:rPr>
        <w:t xml:space="preserve"> (Γ/Δ) FR0010527275</w:t>
      </w:r>
    </w:p>
    <w:p>
      <w:pPr>
        <w:spacing w:after="0" w:line="72"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FFFFFF"/>
        </w:rPr>
        <w:t xml:space="preserve">Το ταμείο αυτό διαχειρίζεται η Amundi Asset Management, εταιρεία Amundi</w:t>
      </w:r>
    </w:p>
    <w:p>
      <w:pPr>
        <w:spacing w:after="0" w:line="130"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Στόχοι και επενδυτική πολιτική</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-137795</wp:posOffset>
                </wp:positionV>
                <wp:extent cx="6286500" cy="151765"/>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86500" cy="151765"/>
                        </a:xfrm>
                        <a:prstGeom prst="rect">
                          <a:avLst/>
                        </a:prstGeom>
                        <a:solidFill>
                          <a:srgbClr val="AFAFAF"/>
                        </a:solidFill>
                      </wps:spPr>
                      <wps:bodyPr/>
                    </wps:wsp>
                  </a:graphicData>
                </a:graphic>
              </wp:anchor>
            </w:drawing>
          </mc:Choice>
          <mc:Fallback>
            <w:pict>
              <v:rect id="Shape 5" o:spid="_x0000_s1030" style="position:absolute;margin-left:0pt;margin-top:-10.8499pt;width:495pt;height:11.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ένας παθητικά διαχειριζόμενος ΟΣΕΚΑ που παρακολουθεί τους δείκτες.</w:t>
      </w:r>
    </w:p>
    <w:p>
      <w:pPr>
        <w:spacing w:after="0" w:line="2" w:lineRule="exact"/>
        <w:rPr>
          <w:sz w:val="24"/>
          <w:szCs w:val="24"/>
          <w:color w:val="auto"/>
        </w:rPr>
      </w:pP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Στόχος της διαχείρισης του Ταμείου είναι η αναπαραγωγή, τόσο προς τα πάνω όσο και προς τα κάτω, της μεταβολής του δείκτη καθαρής συνολικής απόδοσης (καθαρά επανεπενδυθέντα μερίσματα) του MSCI ACWI IMI Water ESG που εκφράζεται σε δολάρια ΗΠΑ (ο «δείκτης αναφοράς»), ενώ παράλληλα ελαχιστοποιείται το σφάλμα εντοπισμού μεταξύ των επιδόσεων του Ταμείου και του δείκτη αναφοράς του.</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σφάλμα εντοπισμού που προβλέπεται υπό κανονικές συνθήκες αγοράς αναφέρεται στο ενημερωτικό δελτίο του Ταμείου.</w:t>
      </w:r>
    </w:p>
    <w:p>
      <w:pPr>
        <w:spacing w:after="0" w:line="19" w:lineRule="exact"/>
        <w:rPr>
          <w:sz w:val="24"/>
          <w:szCs w:val="24"/>
          <w:color w:val="auto"/>
        </w:rPr>
      </w:pP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Ο δείκτης αναφοράς στοχεύει στην εκπροσώπηση των επιδόσεων των κινητών αξιών, οι δραστηριότητες των οποίων συνδέονται με τον τομέα του νερού, συμπεριλαμβανομένης της διανομής νερού, των δημόσιων επιχειρήσεων κοινής ωφέλειας και της παροχής εξοπλισμού που σχετίζεται με την επεξεργασία νερού και νερού, και αποκλείει εταιρείες που υστερούν σε περιβαλλοντικό, κοινωνικό επίπεδο και επίπεδο διακυβέρνησης (ΠΚΔ), ιδίως βάσει αξιολογήσεων ΠΚΔ.</w:t>
      </w:r>
    </w:p>
    <w:p>
      <w:pPr>
        <w:spacing w:after="0" w:line="1" w:lineRule="exact"/>
        <w:rPr>
          <w:sz w:val="24"/>
          <w:szCs w:val="24"/>
          <w:color w:val="auto"/>
        </w:rPr>
      </w:pP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Η μεθοδολογία αξιολόγησης του ΠΚΔ βασίζεται σε βασικά ζητήματα ΠΚΔ που περιλαμβάνουν, μεταξύ άλλων, την πίεση του νερού, τις εκπομπές άνθρακα, τη διαχείριση προσωπικού και την επιχειρηματική δεοντολογία.</w:t>
      </w: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Ο δείκτης αναφοράς χρησιμοποιεί μια προσέγγιση με τον καλύτερο δυνατό τρόπο στην κατηγορία του, πράγμα που σημαίνει ότι οι εταιρείες με προσαρμοσμένη στη βιομηχανία αξιολόγηση ΠΚΔ στο χαμηλότερο τεταρτημόριο εξαιρούνται από το επενδυτικό σύμπαν.</w:t>
      </w: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Για περισσότερες πληροφορίες σχετικά με τους γενικούς και ειδικούς περιβαλλοντικούς στόχους, τους στόχους κοινωνικής πολιτικής και διακυβέρνησης (ΠΚΔ) του Επιμέρους Ταμείου, μπορείτε να συμβουλευθείτε τον Κωδικό Διαφάνειας του Επιμέρους Ταμείου στη διεύθυνση https://amundietf.com/.</w:t>
      </w:r>
    </w:p>
    <w:p>
      <w:pPr xmlns:w="http://schemas.openxmlformats.org/wordprocessingml/2006/main">
        <w:jc w:val="both"/>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Τα όρια της μεθοδολογίας του δείκτη αναφοράς περιγράφονται στο ενημερωτικό δελτίο του Ταμείου μέσω παραγόντων κινδύνου όπως ο κίνδυνος αγοράς που συνδέεται με τη διαμάχη και οι κίνδυνοι που σχετίζονται με τις μεθοδολογίες ΠΚΔ και τον υπολογισμό των βαθμολογιών ΠΚΔ.</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Πρόσθετες πληροφορίες για τους δείκτες MSCI διατίθενται στον δικτυακό τόπο της MSCI (www.msci.com).</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επιδιώκει την επίτευξη του στόχου του μέσω άμεσης αναπαραγωγής, δηλαδή επενδύοντας κυρίως στις συνιστώσες του δείκτη αναφοράς.</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Για τη βελτιστοποίηση της αναπαραγωγής του δείκτη αναφοράς, το Ταμείο μπορεί να χρησιμοποιεί τεχνική δειγματοληψίας.</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Η πιθανή χρήση αυτής της τεχνικής υποδεικνύεται στη διεύθυνση amundietf.com.</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Η τρέχουσα σύνθεση του χαρτοφυλακίου του Ταμείου παρουσιάζεται στη διεύθυνση amundietf.com.</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Επιπλέον, η καθαρή αξία του ενεργητικού δημοσιεύεται στις σελίδες Reuters και Bloomberg του Ταμείου και μπορεί επίσης να εμφανίζεται στους δικτυακούς τόπους των αγορών του.</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καθαρό κέρδος του Ταμείου και τα καθαρά πραγματοποιηθέντα κέρδη κεφαλαίου επανεπενδύονται ή αναδιανέμονται κάθε χρόνο κατά την κρίση της Εταιρείας Διαχείρισης.</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Μπορείτε να μεταπωλήσετε τις μονάδες σας κατά τις ώρες διαπραγμάτευσης των διαφόρων χρηματιστηρίων, υπό την προϋπόθεση ότι οι Market Makers μπορούν να διατηρήσουν τη ρευστότητα της αγοράς.</w:t>
      </w:r>
    </w:p>
    <w:p>
      <w:pPr>
        <w:spacing w:after="0" w:line="1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Σύσταση:</w:t>
      </w:r>
      <w:r>
        <w:rPr xmlns:w="http://schemas.openxmlformats.org/wordprocessingml/2006/main">
          <w:rFonts w:ascii="Arial" w:cs="Arial" w:eastAsia="Arial" w:hAnsi="Arial"/>
          <w:sz w:val="14"/>
          <w:szCs w:val="14"/>
          <w:color w:val="auto"/>
        </w:rPr>
        <w:t xml:space="preserve"> αυτή η SICAV μπορεί να μην είναι κατάλληλη για τους επενδυτές που σκοπεύουν να αποσύρουν τα χρήματά τους εντός 5 ετών.</w:t>
      </w:r>
    </w:p>
    <w:p>
      <w:pPr>
        <w:sectPr>
          <w:pgSz w:w="11900" w:h="16838" w:orient="portrait"/>
          <w:cols w:equalWidth="0" w:num="1">
            <w:col w:w="9900"/>
          </w:cols>
          <w:pgMar w:left="1000" w:top="1279" w:right="1006" w:bottom="0" w:gutter="0" w:footer="0" w:header="0"/>
        </w:sectPr>
      </w:pPr>
    </w:p>
    <w:p>
      <w:pPr>
        <w:spacing w:after="0" w:line="193" w:lineRule="exact"/>
        <w:rPr>
          <w:sz w:val="24"/>
          <w:szCs w:val="24"/>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Προφίλ κινδύνου και ανταμοιβής</w:t>
      </w:r>
    </w:p>
    <w:p>
      <w:pPr>
        <w:spacing w:after="0" w:line="54" w:lineRule="exact"/>
        <w:rPr>
          <w:sz w:val="24"/>
          <w:szCs w:val="24"/>
          <w:color w:val="auto"/>
        </w:rPr>
      </w:pPr>
    </w:p>
    <w:tbl>
      <w:tblPr>
        <w:tblLayout w:type="fixed"/>
        <w:tblInd w:w="110" w:type="dxa"/>
        <w:tblCellMar>
          <w:top w:w="0" w:type="dxa"/>
          <w:left w:w="0" w:type="dxa"/>
          <w:bottom w:w="0" w:type="dxa"/>
          <w:right w:w="0" w:type="dxa"/>
        </w:tblCellMar>
      </w:tblPr>
      <w:tr>
        <w:trPr>
          <w:trHeight w:val="161"/>
        </w:trPr>
        <w:tc>
          <w:tcPr>
            <w:tcW w:w="7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2"/>
                <w:szCs w:val="12"/>
                <w:color w:val="auto"/>
              </w:rPr>
              <w:t xml:space="preserve">Μείωση κινδύνου</w:t>
            </w:r>
          </w:p>
        </w:tc>
        <w:tc>
          <w:tcPr>
            <w:tcW w:w="6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260" w:type="dxa"/>
            <w:vAlign w:val="bottom"/>
          </w:tcPr>
          <w:p>
            <w:pPr>
              <w:spacing w:after="0"/>
              <w:rPr>
                <w:sz w:val="14"/>
                <w:szCs w:val="14"/>
                <w:color w:val="auto"/>
              </w:rPr>
            </w:pPr>
          </w:p>
        </w:tc>
        <w:tc>
          <w:tcPr>
            <w:tcW w:w="420" w:type="dxa"/>
            <w:vAlign w:val="bottom"/>
          </w:tcPr>
          <w:p>
            <w:pPr>
              <w:spacing w:after="0"/>
              <w:rPr>
                <w:sz w:val="14"/>
                <w:szCs w:val="14"/>
                <w:color w:val="auto"/>
              </w:rPr>
            </w:pPr>
          </w:p>
        </w:tc>
        <w:tc>
          <w:tcPr>
            <w:tcW w:w="70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2"/>
                <w:szCs w:val="12"/>
                <w:color w:val="auto"/>
              </w:rPr>
              <w:t xml:space="preserve">Υψηλότερος κίνδυνος</w:t>
            </w:r>
          </w:p>
        </w:tc>
        <w:tc>
          <w:tcPr>
            <w:tcW w:w="0" w:type="dxa"/>
            <w:vAlign w:val="bottom"/>
          </w:tcPr>
          <w:p>
            <w:pPr>
              <w:spacing w:after="0"/>
              <w:rPr>
                <w:sz w:val="1"/>
                <w:szCs w:val="1"/>
                <w:color w:val="auto"/>
              </w:rPr>
            </w:pPr>
          </w:p>
        </w:tc>
      </w:tr>
      <w:tr>
        <w:trPr>
          <w:trHeight w:val="411"/>
        </w:trPr>
        <w:tc>
          <w:tcPr>
            <w:tcW w:w="138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2"/>
                <w:szCs w:val="12"/>
                <w:color w:val="auto"/>
              </w:rPr>
              <w:t xml:space="preserve">συνήθως χαμηλότερες ανταμοιβές</w:t>
            </w:r>
          </w:p>
        </w:tc>
        <w:tc>
          <w:tcPr>
            <w:tcW w:w="66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680" w:type="dxa"/>
            <w:vAlign w:val="bottom"/>
          </w:tcPr>
          <w:p>
            <w:pPr>
              <w:spacing w:after="0"/>
              <w:rPr>
                <w:sz w:val="24"/>
                <w:szCs w:val="24"/>
                <w:color w:val="auto"/>
              </w:rPr>
            </w:pPr>
          </w:p>
        </w:tc>
        <w:tc>
          <w:tcPr>
            <w:tcW w:w="136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2"/>
                <w:szCs w:val="12"/>
                <w:color w:val="auto"/>
              </w:rPr>
              <w:t xml:space="preserve">τυπικά υψηλότερες ανταμοιβές</w:t>
            </w:r>
          </w:p>
        </w:tc>
        <w:tc>
          <w:tcPr>
            <w:tcW w:w="0" w:type="dxa"/>
            <w:vAlign w:val="bottom"/>
          </w:tcPr>
          <w:p>
            <w:pPr>
              <w:spacing w:after="0"/>
              <w:rPr>
                <w:sz w:val="1"/>
                <w:szCs w:val="1"/>
                <w:color w:val="auto"/>
              </w:rPr>
            </w:pPr>
          </w:p>
        </w:tc>
      </w:tr>
      <w:tr>
        <w:trPr>
          <w:trHeight w:val="45"/>
        </w:trPr>
        <w:tc>
          <w:tcPr>
            <w:tcW w:w="700" w:type="dxa"/>
            <w:vAlign w:val="bottom"/>
            <w:tcBorders>
              <w:bottom w:val="single" w:sz="8" w:color="auto"/>
            </w:tcBorders>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c>
          <w:tcPr>
            <w:tcW w:w="660" w:type="dxa"/>
            <w:vAlign w:val="bottom"/>
            <w:tcBorders>
              <w:bottom w:val="single" w:sz="8" w:color="auto"/>
            </w:tcBorders>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c>
          <w:tcPr>
            <w:tcW w:w="680" w:type="dxa"/>
            <w:vAlign w:val="bottom"/>
            <w:tcBorders>
              <w:bottom w:val="single" w:sz="8" w:color="auto"/>
            </w:tcBorders>
          </w:tcPr>
          <w:p>
            <w:pPr>
              <w:spacing w:after="0"/>
              <w:rPr>
                <w:sz w:val="3"/>
                <w:szCs w:val="3"/>
                <w:color w:val="auto"/>
              </w:rPr>
            </w:pPr>
          </w:p>
        </w:tc>
        <w:tc>
          <w:tcPr>
            <w:tcW w:w="260" w:type="dxa"/>
            <w:vAlign w:val="bottom"/>
            <w:tcBorders>
              <w:bottom w:val="single" w:sz="8" w:color="auto"/>
            </w:tcBorders>
          </w:tcPr>
          <w:p>
            <w:pPr>
              <w:spacing w:after="0"/>
              <w:rPr>
                <w:sz w:val="3"/>
                <w:szCs w:val="3"/>
                <w:color w:val="auto"/>
              </w:rPr>
            </w:pPr>
          </w:p>
        </w:tc>
        <w:tc>
          <w:tcPr>
            <w:tcW w:w="420" w:type="dxa"/>
            <w:vAlign w:val="bottom"/>
            <w:tcBorders>
              <w:bottom w:val="single" w:sz="8" w:color="auto"/>
            </w:tcBorders>
          </w:tcPr>
          <w:p>
            <w:pPr>
              <w:spacing w:after="0"/>
              <w:rPr>
                <w:sz w:val="3"/>
                <w:szCs w:val="3"/>
                <w:color w:val="auto"/>
              </w:rPr>
            </w:pPr>
          </w:p>
        </w:tc>
        <w:tc>
          <w:tcPr>
            <w:tcW w:w="700" w:type="dxa"/>
            <w:vAlign w:val="bottom"/>
            <w:tcBorders>
              <w:bottom w:val="single" w:sz="8" w:color="auto"/>
            </w:tcBorders>
          </w:tcPr>
          <w:p>
            <w:pPr>
              <w:spacing w:after="0"/>
              <w:rPr>
                <w:sz w:val="3"/>
                <w:szCs w:val="3"/>
                <w:color w:val="auto"/>
              </w:rPr>
            </w:pPr>
          </w:p>
        </w:tc>
        <w:tc>
          <w:tcPr>
            <w:tcW w:w="0" w:type="dxa"/>
            <w:vAlign w:val="bottom"/>
          </w:tcPr>
          <w:p>
            <w:pPr>
              <w:spacing w:after="0"/>
              <w:rPr>
                <w:sz w:val="1"/>
                <w:szCs w:val="1"/>
                <w:color w:val="auto"/>
              </w:rPr>
            </w:pPr>
          </w:p>
        </w:tc>
      </w:tr>
      <w:tr>
        <w:trPr>
          <w:trHeight w:val="264"/>
        </w:trPr>
        <w:tc>
          <w:tcPr>
            <w:tcW w:w="700" w:type="dxa"/>
            <w:vAlign w:val="bottom"/>
            <w:tcBorders>
              <w:left w:val="single" w:sz="8" w:color="auto"/>
              <w:right w:val="single" w:sz="8" w:color="auto"/>
            </w:tcBorders>
            <w:vMerge w:val="restart"/>
          </w:tcPr>
          <w:p>
            <w:pPr xmlns:w="http://schemas.openxmlformats.org/wordprocessingml/2006/main">
              <w:jc w:val="right"/>
              <w:ind w:right="242"/>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1</w:t>
            </w:r>
          </w:p>
        </w:tc>
        <w:tc>
          <w:tcPr>
            <w:tcW w:w="680" w:type="dxa"/>
            <w:vAlign w:val="bottom"/>
            <w:tcBorders>
              <w:right w:val="single" w:sz="8" w:color="auto"/>
            </w:tcBorders>
            <w:vMerge w:val="restart"/>
          </w:tcPr>
          <w:p>
            <w:pPr xmlns:w="http://schemas.openxmlformats.org/wordprocessingml/2006/main">
              <w:jc w:val="right"/>
              <w:ind w:right="225"/>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2</w:t>
            </w:r>
          </w:p>
        </w:tc>
        <w:tc>
          <w:tcPr>
            <w:tcW w:w="660" w:type="dxa"/>
            <w:vAlign w:val="bottom"/>
            <w:tcBorders>
              <w:right w:val="single" w:sz="8" w:color="auto"/>
            </w:tcBorders>
            <w:vMerge w:val="restart"/>
          </w:tcPr>
          <w:p>
            <w:pPr xmlns:w="http://schemas.openxmlformats.org/wordprocessingml/2006/main">
              <w:jc w:val="right"/>
              <w:ind w:right="205"/>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3</w:t>
            </w:r>
          </w:p>
        </w:tc>
        <w:tc>
          <w:tcPr>
            <w:tcW w:w="680" w:type="dxa"/>
            <w:vAlign w:val="bottom"/>
            <w:tcBorders>
              <w:right w:val="single" w:sz="8" w:color="auto"/>
            </w:tcBorders>
            <w:vMerge w:val="restart"/>
          </w:tcPr>
          <w:p>
            <w:pPr xmlns:w="http://schemas.openxmlformats.org/wordprocessingml/2006/main">
              <w:jc w:val="right"/>
              <w:ind w:right="205"/>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4</w:t>
            </w:r>
          </w:p>
        </w:tc>
        <w:tc>
          <w:tcPr>
            <w:tcW w:w="680" w:type="dxa"/>
            <w:vAlign w:val="bottom"/>
            <w:tcBorders>
              <w:right w:val="single" w:sz="8" w:color="auto"/>
            </w:tcBorders>
            <w:vMerge w:val="restart"/>
          </w:tcPr>
          <w:p>
            <w:pPr xmlns:w="http://schemas.openxmlformats.org/wordprocessingml/2006/main">
              <w:jc w:val="right"/>
              <w:ind w:right="205"/>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5</w:t>
            </w:r>
          </w:p>
        </w:tc>
        <w:tc>
          <w:tcPr>
            <w:tcW w:w="260" w:type="dxa"/>
            <w:vAlign w:val="bottom"/>
            <w:vMerge w:val="restart"/>
            <w:shd w:val="clear" w:color="auto" w:fill="AFAEAE"/>
          </w:tcPr>
          <w:p>
            <w:pPr>
              <w:spacing w:after="0"/>
              <w:rPr>
                <w:sz w:val="22"/>
                <w:szCs w:val="22"/>
                <w:color w:val="auto"/>
              </w:rPr>
            </w:pPr>
          </w:p>
        </w:tc>
        <w:tc>
          <w:tcPr>
            <w:tcW w:w="420" w:type="dxa"/>
            <w:vAlign w:val="bottom"/>
            <w:tcBorders>
              <w:right w:val="single" w:sz="8" w:color="auto"/>
            </w:tcBorders>
            <w:shd w:val="clear" w:color="auto" w:fill="AFAEAE"/>
          </w:tcPr>
          <w:p>
            <w:pPr xmlns:w="http://schemas.openxmlformats.org/wordprocessingml/2006/main">
              <w:jc w:val="right"/>
              <w:ind w:right="190"/>
              <w:spacing w:after="0"/>
              <w:rPr>
                <w:sz w:val="20"/>
                <w:szCs w:val="20"/>
                <w:color w:val="auto"/>
              </w:rPr>
            </w:pPr>
            <w:r>
              <w:rPr xmlns:w="http://schemas.openxmlformats.org/wordprocessingml/2006/main">
                <w:rFonts w:ascii="Arial" w:cs="Arial" w:eastAsia="Arial" w:hAnsi="Arial"/>
                <w:sz w:val="22"/>
                <w:szCs w:val="22"/>
                <w:b w:val="1"/>
                <w:bCs w:val="1"/>
                <w:color w:val="auto"/>
                <w:highlight w:val="darkGray"/>
                <w:w w:val="81"/>
              </w:rPr>
              <w:t xml:space="preserve">6</w:t>
            </w:r>
          </w:p>
        </w:tc>
        <w:tc>
          <w:tcPr>
            <w:tcW w:w="700" w:type="dxa"/>
            <w:vAlign w:val="bottom"/>
            <w:tcBorders>
              <w:right w:val="single" w:sz="8" w:color="auto"/>
            </w:tcBorders>
            <w:vMerge w:val="restart"/>
          </w:tcPr>
          <w:p>
            <w:pPr xmlns:w="http://schemas.openxmlformats.org/wordprocessingml/2006/main">
              <w:jc w:val="right"/>
              <w:ind w:right="233"/>
              <w:spacing w:after="0"/>
              <w:rPr>
                <w:sz w:val="20"/>
                <w:szCs w:val="20"/>
                <w:color w:val="auto"/>
              </w:rPr>
            </w:pPr>
            <w:r>
              <w:rPr xmlns:w="http://schemas.openxmlformats.org/wordprocessingml/2006/main">
                <w:rFonts w:ascii="Arial" w:cs="Arial" w:eastAsia="Arial" w:hAnsi="Arial"/>
                <w:sz w:val="23"/>
                <w:szCs w:val="23"/>
                <w:b w:val="1"/>
                <w:bCs w:val="1"/>
                <w:color w:val="AFAFAF"/>
              </w:rPr>
              <w:t xml:space="preserve">7</w:t>
            </w:r>
          </w:p>
        </w:tc>
        <w:tc>
          <w:tcPr>
            <w:tcW w:w="0" w:type="dxa"/>
            <w:vAlign w:val="bottom"/>
          </w:tcPr>
          <w:p>
            <w:pPr>
              <w:spacing w:after="0"/>
              <w:rPr>
                <w:sz w:val="1"/>
                <w:szCs w:val="1"/>
                <w:color w:val="auto"/>
              </w:rPr>
            </w:pPr>
          </w:p>
        </w:tc>
      </w:tr>
      <w:tr>
        <w:trPr>
          <w:trHeight w:val="86"/>
        </w:trPr>
        <w:tc>
          <w:tcPr>
            <w:tcW w:w="700" w:type="dxa"/>
            <w:vAlign w:val="bottom"/>
            <w:tcBorders>
              <w:left w:val="single" w:sz="8" w:color="auto"/>
              <w:right w:val="single" w:sz="8" w:color="auto"/>
            </w:tcBorders>
            <w:vMerge w:val="continue"/>
          </w:tcPr>
          <w:p>
            <w:pPr>
              <w:spacing w:after="0"/>
              <w:rPr>
                <w:sz w:val="7"/>
                <w:szCs w:val="7"/>
                <w:color w:val="auto"/>
              </w:rPr>
            </w:pPr>
          </w:p>
        </w:tc>
        <w:tc>
          <w:tcPr>
            <w:tcW w:w="680" w:type="dxa"/>
            <w:vAlign w:val="bottom"/>
            <w:tcBorders>
              <w:right w:val="single" w:sz="8" w:color="auto"/>
            </w:tcBorders>
            <w:vMerge w:val="continue"/>
          </w:tcPr>
          <w:p>
            <w:pPr>
              <w:spacing w:after="0"/>
              <w:rPr>
                <w:sz w:val="7"/>
                <w:szCs w:val="7"/>
                <w:color w:val="auto"/>
              </w:rPr>
            </w:pPr>
          </w:p>
        </w:tc>
        <w:tc>
          <w:tcPr>
            <w:tcW w:w="660" w:type="dxa"/>
            <w:vAlign w:val="bottom"/>
            <w:tcBorders>
              <w:right w:val="single" w:sz="8" w:color="auto"/>
            </w:tcBorders>
            <w:vMerge w:val="continue"/>
          </w:tcPr>
          <w:p>
            <w:pPr>
              <w:spacing w:after="0"/>
              <w:rPr>
                <w:sz w:val="7"/>
                <w:szCs w:val="7"/>
                <w:color w:val="auto"/>
              </w:rPr>
            </w:pPr>
          </w:p>
        </w:tc>
        <w:tc>
          <w:tcPr>
            <w:tcW w:w="680" w:type="dxa"/>
            <w:vAlign w:val="bottom"/>
            <w:tcBorders>
              <w:right w:val="single" w:sz="8" w:color="auto"/>
            </w:tcBorders>
            <w:vMerge w:val="continue"/>
          </w:tcPr>
          <w:p>
            <w:pPr>
              <w:spacing w:after="0"/>
              <w:rPr>
                <w:sz w:val="7"/>
                <w:szCs w:val="7"/>
                <w:color w:val="auto"/>
              </w:rPr>
            </w:pPr>
          </w:p>
        </w:tc>
        <w:tc>
          <w:tcPr>
            <w:tcW w:w="680" w:type="dxa"/>
            <w:vAlign w:val="bottom"/>
            <w:tcBorders>
              <w:right w:val="single" w:sz="8" w:color="auto"/>
            </w:tcBorders>
            <w:vMerge w:val="continue"/>
          </w:tcPr>
          <w:p>
            <w:pPr>
              <w:spacing w:after="0"/>
              <w:rPr>
                <w:sz w:val="7"/>
                <w:szCs w:val="7"/>
                <w:color w:val="auto"/>
              </w:rPr>
            </w:pPr>
          </w:p>
        </w:tc>
        <w:tc>
          <w:tcPr>
            <w:tcW w:w="260" w:type="dxa"/>
            <w:vAlign w:val="bottom"/>
            <w:vMerge w:val="continue"/>
            <w:shd w:val="clear" w:color="auto" w:fill="AFAEAE"/>
          </w:tcPr>
          <w:p>
            <w:pPr>
              <w:spacing w:after="0"/>
              <w:rPr>
                <w:sz w:val="7"/>
                <w:szCs w:val="7"/>
                <w:color w:val="auto"/>
              </w:rPr>
            </w:pPr>
          </w:p>
        </w:tc>
        <w:tc>
          <w:tcPr>
            <w:tcW w:w="420" w:type="dxa"/>
            <w:vAlign w:val="bottom"/>
            <w:tcBorders>
              <w:right w:val="single" w:sz="8" w:color="auto"/>
            </w:tcBorders>
            <w:shd w:val="clear" w:color="auto" w:fill="AFAEAE"/>
          </w:tcPr>
          <w:p>
            <w:pPr>
              <w:spacing w:after="0"/>
              <w:rPr>
                <w:sz w:val="7"/>
                <w:szCs w:val="7"/>
                <w:color w:val="auto"/>
              </w:rPr>
            </w:pPr>
          </w:p>
        </w:tc>
        <w:tc>
          <w:tcPr>
            <w:tcW w:w="700" w:type="dxa"/>
            <w:vAlign w:val="bottom"/>
            <w:tcBorders>
              <w:right w:val="single" w:sz="8" w:color="auto"/>
            </w:tcBorders>
            <w:vMerge w:val="continue"/>
          </w:tcPr>
          <w:p>
            <w:pPr>
              <w:spacing w:after="0"/>
              <w:rPr>
                <w:sz w:val="7"/>
                <w:szCs w:val="7"/>
                <w:color w:val="auto"/>
              </w:rPr>
            </w:pPr>
          </w:p>
        </w:tc>
        <w:tc>
          <w:tcPr>
            <w:tcW w:w="0" w:type="dxa"/>
            <w:vAlign w:val="bottom"/>
          </w:tcPr>
          <w:p>
            <w:pPr>
              <w:spacing w:after="0"/>
              <w:rPr>
                <w:sz w:val="1"/>
                <w:szCs w:val="1"/>
                <w:color w:val="auto"/>
              </w:rPr>
            </w:pPr>
          </w:p>
        </w:tc>
      </w:tr>
      <w:tr>
        <w:trPr>
          <w:trHeight w:val="80"/>
        </w:trPr>
        <w:tc>
          <w:tcPr>
            <w:tcW w:w="700" w:type="dxa"/>
            <w:vAlign w:val="bottom"/>
            <w:tcBorders>
              <w:left w:val="single" w:sz="8" w:color="auto"/>
              <w:bottom w:val="single" w:sz="8" w:color="auto"/>
              <w:right w:val="single" w:sz="8" w:color="auto"/>
            </w:tcBorders>
          </w:tcPr>
          <w:p>
            <w:pPr>
              <w:spacing w:after="0"/>
              <w:rPr>
                <w:sz w:val="6"/>
                <w:szCs w:val="6"/>
                <w:color w:val="auto"/>
              </w:rPr>
            </w:pPr>
          </w:p>
        </w:tc>
        <w:tc>
          <w:tcPr>
            <w:tcW w:w="680" w:type="dxa"/>
            <w:vAlign w:val="bottom"/>
            <w:tcBorders>
              <w:bottom w:val="single" w:sz="8" w:color="auto"/>
              <w:right w:val="single" w:sz="8" w:color="auto"/>
            </w:tcBorders>
          </w:tcPr>
          <w:p>
            <w:pPr>
              <w:spacing w:after="0"/>
              <w:rPr>
                <w:sz w:val="6"/>
                <w:szCs w:val="6"/>
                <w:color w:val="auto"/>
              </w:rPr>
            </w:pPr>
          </w:p>
        </w:tc>
        <w:tc>
          <w:tcPr>
            <w:tcW w:w="660" w:type="dxa"/>
            <w:vAlign w:val="bottom"/>
            <w:tcBorders>
              <w:bottom w:val="single" w:sz="8" w:color="auto"/>
              <w:right w:val="single" w:sz="8" w:color="auto"/>
            </w:tcBorders>
          </w:tcPr>
          <w:p>
            <w:pPr>
              <w:spacing w:after="0"/>
              <w:rPr>
                <w:sz w:val="6"/>
                <w:szCs w:val="6"/>
                <w:color w:val="auto"/>
              </w:rPr>
            </w:pPr>
          </w:p>
        </w:tc>
        <w:tc>
          <w:tcPr>
            <w:tcW w:w="680" w:type="dxa"/>
            <w:vAlign w:val="bottom"/>
            <w:tcBorders>
              <w:bottom w:val="single" w:sz="8" w:color="auto"/>
              <w:right w:val="single" w:sz="8" w:color="auto"/>
            </w:tcBorders>
          </w:tcPr>
          <w:p>
            <w:pPr>
              <w:spacing w:after="0"/>
              <w:rPr>
                <w:sz w:val="6"/>
                <w:szCs w:val="6"/>
                <w:color w:val="auto"/>
              </w:rPr>
            </w:pPr>
          </w:p>
        </w:tc>
        <w:tc>
          <w:tcPr>
            <w:tcW w:w="680" w:type="dxa"/>
            <w:vAlign w:val="bottom"/>
            <w:tcBorders>
              <w:bottom w:val="single" w:sz="8" w:color="auto"/>
              <w:right w:val="single" w:sz="8" w:color="auto"/>
            </w:tcBorders>
          </w:tcPr>
          <w:p>
            <w:pPr>
              <w:spacing w:after="0"/>
              <w:rPr>
                <w:sz w:val="6"/>
                <w:szCs w:val="6"/>
                <w:color w:val="auto"/>
              </w:rPr>
            </w:pPr>
          </w:p>
        </w:tc>
        <w:tc>
          <w:tcPr>
            <w:tcW w:w="260" w:type="dxa"/>
            <w:vAlign w:val="bottom"/>
            <w:tcBorders>
              <w:bottom w:val="single" w:sz="8" w:color="auto"/>
            </w:tcBorders>
            <w:shd w:val="clear" w:color="auto" w:fill="AFAEAE"/>
          </w:tcPr>
          <w:p>
            <w:pPr>
              <w:spacing w:after="0"/>
              <w:rPr>
                <w:sz w:val="6"/>
                <w:szCs w:val="6"/>
                <w:color w:val="auto"/>
              </w:rPr>
            </w:pPr>
          </w:p>
        </w:tc>
        <w:tc>
          <w:tcPr>
            <w:tcW w:w="420" w:type="dxa"/>
            <w:vAlign w:val="bottom"/>
            <w:tcBorders>
              <w:bottom w:val="single" w:sz="8" w:color="auto"/>
              <w:right w:val="single" w:sz="8" w:color="auto"/>
            </w:tcBorders>
            <w:shd w:val="clear" w:color="auto" w:fill="AFAEAE"/>
          </w:tcPr>
          <w:p>
            <w:pPr>
              <w:spacing w:after="0"/>
              <w:rPr>
                <w:sz w:val="6"/>
                <w:szCs w:val="6"/>
                <w:color w:val="auto"/>
              </w:rPr>
            </w:pPr>
          </w:p>
        </w:tc>
        <w:tc>
          <w:tcPr>
            <w:tcW w:w="700" w:type="dxa"/>
            <w:vAlign w:val="bottom"/>
            <w:tcBorders>
              <w:bottom w:val="single" w:sz="8" w:color="auto"/>
              <w:right w:val="single" w:sz="8" w:color="auto"/>
            </w:tcBorders>
          </w:tcPr>
          <w:p>
            <w:pPr>
              <w:spacing w:after="0"/>
              <w:rPr>
                <w:sz w:val="6"/>
                <w:szCs w:val="6"/>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41275</wp:posOffset>
            </wp:positionH>
            <wp:positionV relativeFrom="paragraph">
              <wp:posOffset>-585470</wp:posOffset>
            </wp:positionV>
            <wp:extent cx="3060700" cy="18478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3060700" cy="184785"/>
                    </a:xfrm>
                    <a:prstGeom prst="rect">
                      <a:avLst/>
                    </a:prstGeom>
                    <a:noFill/>
                  </pic:spPr>
                </pic:pic>
              </a:graphicData>
            </a:graphic>
          </wp:anchor>
        </w:drawing>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επίπεδο κινδύνου του Ταμείου αντικατοπτρίζει το θέμα των διεθνών επενδύσεων σε μετοχές.</w:t>
      </w:r>
    </w:p>
    <w:p>
      <w:pPr>
        <w:spacing w:after="0" w:line="2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αρχικό κεφάλαιο που επενδύθηκε δεν είναι εγγυημένο.</w:t>
      </w:r>
    </w:p>
    <w:p>
      <w:pPr>
        <w:spacing w:after="0" w:line="19" w:lineRule="exact"/>
        <w:rPr>
          <w:sz w:val="24"/>
          <w:szCs w:val="24"/>
          <w:color w:val="auto"/>
        </w:rPr>
      </w:pPr>
    </w:p>
    <w:p>
      <w:pPr xmlns:w="http://schemas.openxmlformats.org/wordprocessingml/2006/main">
        <w:spacing w:after="0" w:line="277" w:lineRule="auto"/>
        <w:rPr>
          <w:sz w:val="20"/>
          <w:szCs w:val="20"/>
          <w:color w:val="auto"/>
        </w:rPr>
      </w:pPr>
      <w:r>
        <w:rPr xmlns:w="http://schemas.openxmlformats.org/wordprocessingml/2006/main">
          <w:rFonts w:ascii="Arial" w:cs="Arial" w:eastAsia="Arial" w:hAnsi="Arial"/>
          <w:sz w:val="14"/>
          <w:szCs w:val="14"/>
          <w:color w:val="auto"/>
        </w:rPr>
        <w:t xml:space="preserve">Ιστορικά στοιχεία, όπως αυτά που χρησιμοποιούνται για τον υπολογισμό του σύνθετου δείκτη, ενδέχεται να μην αποτελούν αξιόπιστο δείκτη του μελλοντικού προφίλ κινδύνου του Ταμείου.</w:t>
      </w:r>
      <w:r>
        <w:rPr xmlns:w="http://schemas.openxmlformats.org/wordprocessingml/2006/main">
          <w:rFonts w:ascii="Arial" w:cs="Arial" w:eastAsia="Arial" w:hAnsi="Arial"/>
          <w:sz w:val="14"/>
          <w:szCs w:val="14"/>
          <w:color w:val="auto"/>
        </w:rPr>
        <w:t xml:space="preserve"> Η κατηγορία κινδύνου που σχετίζεται με αυτό το SICAV δεν είναι εγγυημένη και μπορεί να αλλάξει με την πάροδο του χρόνου.</w:t>
      </w:r>
      <w:r>
        <w:rPr xmlns:w="http://schemas.openxmlformats.org/wordprocessingml/2006/main">
          <w:rFonts w:ascii="Arial" w:cs="Arial" w:eastAsia="Arial" w:hAnsi="Arial"/>
          <w:sz w:val="14"/>
          <w:szCs w:val="14"/>
          <w:color w:val="auto"/>
        </w:rPr>
        <w:t xml:space="preserve"> Η χαμηλότερη κατηγορία δεν σημαίνει «χωρίς κίνδυνο.»</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23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Ειδικοί κίνδυνοι για το Ταμείο που δεν περιλαμβάνονται στον δείκτη αυτό είναι:</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-3148965</wp:posOffset>
                </wp:positionH>
                <wp:positionV relativeFrom="paragraph">
                  <wp:posOffset>-257810</wp:posOffset>
                </wp:positionV>
                <wp:extent cx="6285865" cy="15240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85865" cy="152400"/>
                        </a:xfrm>
                        <a:prstGeom prst="rect">
                          <a:avLst/>
                        </a:prstGeom>
                        <a:solidFill>
                          <a:srgbClr val="AFAFAF"/>
                        </a:solidFill>
                      </wps:spPr>
                      <wps:bodyPr/>
                    </wps:wsp>
                  </a:graphicData>
                </a:graphic>
              </wp:anchor>
            </w:drawing>
          </mc:Choice>
          <mc:Fallback>
            <w:pict>
              <v:rect id="Shape 7" o:spid="_x0000_s1032" style="position:absolute;margin-left:-247.9499pt;margin-top:-20.2999pt;width:494.95pt;height:12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7" w:lineRule="exact"/>
        <w:rPr>
          <w:sz w:val="24"/>
          <w:szCs w:val="24"/>
          <w:color w:val="auto"/>
        </w:rPr>
      </w:pPr>
    </w:p>
    <w:p>
      <w:pPr xmlns:w="http://schemas.openxmlformats.org/wordprocessingml/2006/main">
        <w:jc w:val="both"/>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Κίνδυνος ρευστότητας:</w:t>
      </w:r>
      <w:r>
        <w:rPr xmlns:w="http://schemas.openxmlformats.org/wordprocessingml/2006/main">
          <w:rFonts w:ascii="Arial" w:cs="Arial" w:eastAsia="Arial" w:hAnsi="Arial"/>
          <w:sz w:val="14"/>
          <w:szCs w:val="14"/>
          <w:color w:val="auto"/>
        </w:rPr>
        <w:t xml:space="preserve"> Σε ορισμένες περιπτώσεις, όπως προσωρινή μείωση των συναλλαγών στις χρηματοπιστωτικές αγορές, αγορά/πώληση ορισμένων χρηματοπιστωτικών μέσων που κατέχει το Ταμείο ή επηρεάζει την αξία του, μπορεί να οδηγήσει σε σημαντική μεταβολή της αποτίμησής τους.</w:t>
      </w:r>
      <w:r>
        <w:rPr xmlns:w="http://schemas.openxmlformats.org/wordprocessingml/2006/main">
          <w:rFonts w:ascii="Arial" w:cs="Arial" w:eastAsia="Arial" w:hAnsi="Arial"/>
          <w:sz w:val="14"/>
          <w:szCs w:val="14"/>
          <w:color w:val="auto"/>
        </w:rPr>
        <w:t xml:space="preserve"> Υπό αυτές τις συνθήκες, η καθαρή αξία ενεργητικού του Ταμείου θα μπορούσε να επηρεαστεί αρνητικά.</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6350</wp:posOffset>
            </wp:positionH>
            <wp:positionV relativeFrom="paragraph">
              <wp:posOffset>-553720</wp:posOffset>
            </wp:positionV>
            <wp:extent cx="88900" cy="889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spacing w:after="0" w:line="296" w:lineRule="auto"/>
        <w:rPr>
          <w:sz w:val="20"/>
          <w:szCs w:val="20"/>
          <w:color w:val="auto"/>
        </w:rPr>
      </w:pPr>
      <w:r>
        <w:rPr xmlns:w="http://schemas.openxmlformats.org/wordprocessingml/2006/main">
          <w:rFonts w:ascii="Arial" w:cs="Arial" w:eastAsia="Arial" w:hAnsi="Arial"/>
          <w:sz w:val="14"/>
          <w:szCs w:val="14"/>
          <w:color w:val="auto"/>
        </w:rPr>
        <w:t xml:space="preserve">Η εμφάνιση ενός από αυτούς τους κινδύνους μπορεί να μειώσει την καθαρή αξία ενεργητικού του χαρτοφυλακίου σας.</w:t>
      </w:r>
    </w:p>
    <w:p>
      <w:pPr>
        <w:spacing w:after="0" w:line="947" w:lineRule="exact"/>
        <w:rPr>
          <w:sz w:val="24"/>
          <w:szCs w:val="24"/>
          <w:color w:val="auto"/>
        </w:rPr>
      </w:pPr>
    </w:p>
    <w:p>
      <w:pPr>
        <w:sectPr>
          <w:pgSz w:w="11900" w:h="16838" w:orient="portrait"/>
          <w:cols w:equalWidth="0" w:num="2">
            <w:col w:w="4840" w:space="120"/>
            <w:col w:w="4940"/>
          </w:cols>
          <w:pgMar w:left="1000" w:top="1279" w:right="100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5" w:lineRule="exact"/>
        <w:rPr>
          <w:sz w:val="24"/>
          <w:szCs w:val="24"/>
          <w:color w:val="auto"/>
        </w:rPr>
      </w:pPr>
    </w:p>
    <w:p>
      <w:pPr xmlns:w="http://schemas.openxmlformats.org/wordprocessingml/2006/main">
        <w:ind w:left="9440"/>
        <w:spacing w:after="0"/>
        <w:rPr>
          <w:sz w:val="20"/>
          <w:szCs w:val="20"/>
          <w:color w:val="auto"/>
        </w:rPr>
      </w:pPr>
      <w:r>
        <w:rPr xmlns:w="http://schemas.openxmlformats.org/wordprocessingml/2006/main">
          <w:rFonts w:ascii="Arial" w:cs="Arial" w:eastAsia="Arial" w:hAnsi="Arial"/>
          <w:sz w:val="14"/>
          <w:szCs w:val="14"/>
          <w:color w:val="auto"/>
        </w:rPr>
        <w:t xml:space="preserve">1 / 2</w:t>
      </w:r>
    </w:p>
    <w:p>
      <w:pPr>
        <w:sectPr>
          <w:pgSz w:w="11900" w:h="16838" w:orient="portrait"/>
          <w:cols w:equalWidth="0" w:num="1">
            <w:col w:w="9900"/>
          </w:cols>
          <w:pgMar w:left="1000" w:top="1279" w:right="1006" w:bottom="0" w:gutter="0" w:footer="0" w:header="0"/>
          <w:type w:val="continuous"/>
        </w:sectPr>
      </w:pPr>
    </w:p>
    <w:bookmarkStart w:id="1" w:name="page2"/>
    <w:bookmarkEnd w:id="1"/>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Χρεώσεις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-137795</wp:posOffset>
                </wp:positionV>
                <wp:extent cx="6290310" cy="15176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151765"/>
                        </a:xfrm>
                        <a:prstGeom prst="rect">
                          <a:avLst/>
                        </a:prstGeom>
                        <a:solidFill>
                          <a:srgbClr val="AFAFAF"/>
                        </a:solidFill>
                      </wps:spPr>
                      <wps:bodyPr/>
                    </wps:wsp>
                  </a:graphicData>
                </a:graphic>
              </wp:anchor>
            </w:drawing>
          </mc:Choice>
          <mc:Fallback>
            <w:pict>
              <v:rect id="Shape 9" o:spid="_x0000_s1034" style="position:absolute;margin-left:0pt;margin-top:-10.8499pt;width:495.3pt;height:11.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34" w:lineRule="exact"/>
        <w:rPr>
          <w:sz w:val="20"/>
          <w:szCs w:val="20"/>
          <w:color w:val="auto"/>
        </w:rPr>
      </w:pPr>
    </w:p>
    <w:p>
      <w:pPr xmlns:w="http://schemas.openxmlformats.org/wordprocessingml/2006/main">
        <w:spacing w:after="0" w:line="270" w:lineRule="auto"/>
        <w:rPr>
          <w:sz w:val="20"/>
          <w:szCs w:val="20"/>
          <w:color w:val="auto"/>
        </w:rPr>
      </w:pPr>
      <w:r>
        <w:rPr xmlns:w="http://schemas.openxmlformats.org/wordprocessingml/2006/main">
          <w:rFonts w:ascii="Arial" w:cs="Arial" w:eastAsia="Arial" w:hAnsi="Arial"/>
          <w:sz w:val="14"/>
          <w:szCs w:val="14"/>
          <w:color w:val="auto"/>
        </w:rPr>
        <w:t xml:space="preserve">Τα καταβληθέντα τέλη και τέλη χρησιμοποιούνται για την κάλυψη των εξόδων λειτουργίας του Ταμείου, συμπεριλαμβανομένων των εξόδων εμπορίας και διανομής μετοχών.</w:t>
      </w:r>
      <w:r>
        <w:rPr xmlns:w="http://schemas.openxmlformats.org/wordprocessingml/2006/main">
          <w:rFonts w:ascii="Arial" w:cs="Arial" w:eastAsia="Arial" w:hAnsi="Arial"/>
          <w:sz w:val="14"/>
          <w:szCs w:val="14"/>
          <w:color w:val="auto"/>
        </w:rPr>
        <w:t xml:space="preserve"> Αυτές οι χρεώσεις μειώνουν τη δυνητική ανάπτυξη της επένδυσής σας.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16510</wp:posOffset>
                </wp:positionV>
                <wp:extent cx="3136900" cy="20320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36900" cy="203200"/>
                        </a:xfrm>
                        <a:prstGeom prst="rect">
                          <a:avLst/>
                        </a:prstGeom>
                        <a:solidFill>
                          <a:srgbClr val="EE7F00"/>
                        </a:solidFill>
                      </wps:spPr>
                      <wps:bodyPr/>
                    </wps:wsp>
                  </a:graphicData>
                </a:graphic>
              </wp:anchor>
            </w:drawing>
          </mc:Choice>
          <mc:Fallback>
            <w:pict>
              <v:rect id="Shape 10" o:spid="_x0000_s1035" style="position:absolute;margin-left:0pt;margin-top:1.3pt;width:247pt;height:1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1210310</wp:posOffset>
                </wp:positionV>
                <wp:extent cx="3136900" cy="20320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36900" cy="203200"/>
                        </a:xfrm>
                        <a:prstGeom prst="rect">
                          <a:avLst/>
                        </a:prstGeom>
                        <a:solidFill>
                          <a:srgbClr val="EE7F00"/>
                        </a:solidFill>
                      </wps:spPr>
                      <wps:bodyPr/>
                    </wps:wsp>
                  </a:graphicData>
                </a:graphic>
              </wp:anchor>
            </w:drawing>
          </mc:Choice>
          <mc:Fallback>
            <w:pict>
              <v:rect id="Shape 11" o:spid="_x0000_s1036" style="position:absolute;margin-left:0pt;margin-top:95.3pt;width:247pt;height:1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E7F00" stroked="f"/>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15875</wp:posOffset>
                </wp:positionV>
                <wp:extent cx="313880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38805" cy="4763"/>
                        </a:xfrm>
                        <a:prstGeom prst="line">
                          <a:avLst/>
                        </a:prstGeom>
                        <a:solidFill>
                          <a:srgbClr val="FFFFFF"/>
                        </a:solidFill>
                        <a:ln w="254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1.25pt" to="247.1pt,1.25pt" o:allowincell="f" strokecolor="#000000" strokeweight="0.2pt"/>
            </w:pict>
          </mc:Fallback>
        </mc:AlternateContent>
        <mc:AlternateContent>
          <mc:Choice Requires="wps">
            <w:drawing>
              <wp:anchor simplePos="0" relativeHeight="251657728" behindDoc="1" locked="0" layoutInCell="0" allowOverlap="1">
                <wp:simplePos x="0" y="0"/>
                <wp:positionH relativeFrom="column">
                  <wp:posOffset>-635</wp:posOffset>
                </wp:positionH>
                <wp:positionV relativeFrom="paragraph">
                  <wp:posOffset>1209675</wp:posOffset>
                </wp:positionV>
                <wp:extent cx="3138805"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38805" cy="4763"/>
                        </a:xfrm>
                        <a:prstGeom prst="line">
                          <a:avLst/>
                        </a:prstGeom>
                        <a:solidFill>
                          <a:srgbClr val="FFFFFF"/>
                        </a:solidFill>
                        <a:ln w="2540">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0499pt,95.25pt" to="247.1pt,95.25pt" o:allowincell="f" strokecolor="#000000" strokeweight="0.2pt"/>
            </w:pict>
          </mc:Fallback>
        </mc:AlternateContent>
        <mc:AlternateContent>
          <mc:Choice Requires="wps">
            <w:drawing>
              <wp:anchor simplePos="0" relativeHeight="251657728" behindDoc="1" locked="0" layoutInCell="0" allowOverlap="1">
                <wp:simplePos x="0" y="0"/>
                <wp:positionH relativeFrom="column">
                  <wp:posOffset>0</wp:posOffset>
                </wp:positionH>
                <wp:positionV relativeFrom="paragraph">
                  <wp:posOffset>14605</wp:posOffset>
                </wp:positionV>
                <wp:extent cx="0" cy="200914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09140"/>
                        </a:xfrm>
                        <a:prstGeom prst="line">
                          <a:avLst/>
                        </a:prstGeom>
                        <a:solidFill>
                          <a:srgbClr val="FFFFFF"/>
                        </a:solidFill>
                        <a:ln w="2540">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pt,1.15pt" to="0pt,159.35pt" o:allowincell="f" strokecolor="#000000" strokeweight="0.2pt"/>
            </w:pict>
          </mc:Fallback>
        </mc:AlternateContent>
        <mc:AlternateContent>
          <mc:Choice Requires="wps">
            <w:drawing>
              <wp:anchor simplePos="0" relativeHeight="251657728" behindDoc="1" locked="0" layoutInCell="0" allowOverlap="1">
                <wp:simplePos x="0" y="0"/>
                <wp:positionH relativeFrom="column">
                  <wp:posOffset>3136900</wp:posOffset>
                </wp:positionH>
                <wp:positionV relativeFrom="paragraph">
                  <wp:posOffset>14605</wp:posOffset>
                </wp:positionV>
                <wp:extent cx="0" cy="200914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09140"/>
                        </a:xfrm>
                        <a:prstGeom prst="line">
                          <a:avLst/>
                        </a:prstGeom>
                        <a:solidFill>
                          <a:srgbClr val="FFFFFF"/>
                        </a:solidFill>
                        <a:ln w="2540">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47pt,1.15pt" to="247pt,159.35pt" o:allowincell="f" strokecolor="#000000" strokeweight="0.2pt"/>
            </w:pict>
          </mc:Fallback>
        </mc:AlternateContent>
      </w:r>
    </w:p>
    <w:p>
      <w:pPr>
        <w:sectPr>
          <w:pgSz w:w="11900" w:h="16838" w:orient="portrait"/>
          <w:cols w:equalWidth="0" w:num="1">
            <w:col w:w="9900"/>
          </w:cols>
          <w:pgMar w:left="1000" w:top="1088" w:right="1006" w:bottom="0" w:gutter="0" w:footer="0" w:header="0"/>
        </w:sectPr>
      </w:pPr>
    </w:p>
    <w:p>
      <w:pPr>
        <w:spacing w:after="0" w:line="68"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shd w:val="clear" w:color="auto" w:fill="EE7F00"/>
        </w:rPr>
        <w:t xml:space="preserve">Εφάπαξ χρεώσεις που αναλήφθηκαν πριν ή μετά την επένδυση</w:t>
      </w:r>
    </w:p>
    <w:p>
      <w:pPr>
        <w:spacing w:after="0" w:line="72" w:lineRule="exact"/>
        <w:rPr>
          <w:sz w:val="20"/>
          <w:szCs w:val="20"/>
          <w:color w:val="auto"/>
        </w:rPr>
      </w:pPr>
    </w:p>
    <w:tbl>
      <w:tblPr>
        <w:tblLayout w:type="fixed"/>
        <w:tblInd w:w="0" w:type="dxa"/>
        <w:tblCellMar>
          <w:top w:w="0" w:type="dxa"/>
          <w:left w:w="0" w:type="dxa"/>
          <w:bottom w:w="0" w:type="dxa"/>
          <w:right w:w="0" w:type="dxa"/>
        </w:tblCellMar>
      </w:tblPr>
      <w:tr>
        <w:trPr>
          <w:trHeight w:val="244"/>
        </w:trPr>
        <w:tc>
          <w:tcPr>
            <w:tcW w:w="2480" w:type="dxa"/>
            <w:vAlign w:val="bottom"/>
            <w:tcBorders>
              <w:top w:val="single" w:sz="8" w:color="auto"/>
              <w:right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Τέλος εισόδου</w:t>
            </w:r>
          </w:p>
        </w:tc>
        <w:tc>
          <w:tcPr>
            <w:tcW w:w="248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Δεν ισχύει για τους επενδυτές</w:t>
            </w:r>
          </w:p>
        </w:tc>
      </w:tr>
      <w:tr>
        <w:trPr>
          <w:trHeight w:val="214"/>
        </w:trPr>
        <w:tc>
          <w:tcPr>
            <w:tcW w:w="2480" w:type="dxa"/>
            <w:vAlign w:val="bottom"/>
            <w:tcBorders>
              <w:right w:val="single" w:sz="8" w:color="auto"/>
            </w:tcBorders>
          </w:tcPr>
          <w:p>
            <w:pPr>
              <w:spacing w:after="0"/>
              <w:rPr>
                <w:sz w:val="18"/>
                <w:szCs w:val="18"/>
                <w:color w:val="auto"/>
              </w:rPr>
            </w:pPr>
          </w:p>
        </w:tc>
        <w:tc>
          <w:tcPr>
            <w:tcW w:w="24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δευτερογενής αγορά*</w:t>
            </w:r>
          </w:p>
        </w:tc>
      </w:tr>
      <w:tr>
        <w:trPr>
          <w:trHeight w:val="62"/>
        </w:trPr>
        <w:tc>
          <w:tcPr>
            <w:tcW w:w="2480" w:type="dxa"/>
            <w:vAlign w:val="bottom"/>
            <w:tcBorders>
              <w:bottom w:val="single" w:sz="8" w:color="auto"/>
              <w:right w:val="single" w:sz="8" w:color="auto"/>
            </w:tcBorders>
          </w:tcPr>
          <w:p>
            <w:pPr>
              <w:spacing w:after="0"/>
              <w:rPr>
                <w:sz w:val="5"/>
                <w:szCs w:val="5"/>
                <w:color w:val="auto"/>
              </w:rPr>
            </w:pPr>
          </w:p>
        </w:tc>
        <w:tc>
          <w:tcPr>
            <w:tcW w:w="2480" w:type="dxa"/>
            <w:vAlign w:val="bottom"/>
            <w:tcBorders>
              <w:bottom w:val="single" w:sz="8" w:color="auto"/>
            </w:tcBorders>
          </w:tcPr>
          <w:p>
            <w:pPr>
              <w:spacing w:after="0"/>
              <w:rPr>
                <w:sz w:val="5"/>
                <w:szCs w:val="5"/>
                <w:color w:val="auto"/>
              </w:rPr>
            </w:pPr>
          </w:p>
        </w:tc>
      </w:tr>
      <w:tr>
        <w:trPr>
          <w:trHeight w:val="224"/>
        </w:trPr>
        <w:tc>
          <w:tcPr>
            <w:tcW w:w="2480" w:type="dxa"/>
            <w:vAlign w:val="bottom"/>
            <w:tcBorders>
              <w:right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Τέλος εξόδου</w:t>
            </w:r>
          </w:p>
        </w:tc>
        <w:tc>
          <w:tcPr>
            <w:tcW w:w="24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Δεν ισχύει για τους επενδυτές</w:t>
            </w:r>
          </w:p>
        </w:tc>
      </w:tr>
      <w:tr>
        <w:trPr>
          <w:trHeight w:val="214"/>
        </w:trPr>
        <w:tc>
          <w:tcPr>
            <w:tcW w:w="2480" w:type="dxa"/>
            <w:vAlign w:val="bottom"/>
            <w:tcBorders>
              <w:right w:val="single" w:sz="8" w:color="auto"/>
            </w:tcBorders>
          </w:tcPr>
          <w:p>
            <w:pPr>
              <w:spacing w:after="0"/>
              <w:rPr>
                <w:sz w:val="18"/>
                <w:szCs w:val="18"/>
                <w:color w:val="auto"/>
              </w:rPr>
            </w:pPr>
          </w:p>
        </w:tc>
        <w:tc>
          <w:tcPr>
            <w:tcW w:w="24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δευτερογενής αγορά*</w:t>
            </w:r>
          </w:p>
        </w:tc>
      </w:tr>
      <w:tr>
        <w:trPr>
          <w:trHeight w:val="62"/>
        </w:trPr>
        <w:tc>
          <w:tcPr>
            <w:tcW w:w="2480" w:type="dxa"/>
            <w:vAlign w:val="bottom"/>
            <w:tcBorders>
              <w:bottom w:val="single" w:sz="8" w:color="auto"/>
              <w:right w:val="single" w:sz="8" w:color="auto"/>
            </w:tcBorders>
          </w:tcPr>
          <w:p>
            <w:pPr>
              <w:spacing w:after="0"/>
              <w:rPr>
                <w:sz w:val="5"/>
                <w:szCs w:val="5"/>
                <w:color w:val="auto"/>
              </w:rPr>
            </w:pPr>
          </w:p>
        </w:tc>
        <w:tc>
          <w:tcPr>
            <w:tcW w:w="2480" w:type="dxa"/>
            <w:vAlign w:val="bottom"/>
            <w:tcBorders>
              <w:bottom w:val="single" w:sz="8" w:color="auto"/>
            </w:tcBorders>
          </w:tcPr>
          <w:p>
            <w:pPr>
              <w:spacing w:after="0"/>
              <w:rPr>
                <w:sz w:val="5"/>
                <w:szCs w:val="5"/>
                <w:color w:val="auto"/>
              </w:rPr>
            </w:pPr>
          </w:p>
        </w:tc>
      </w:tr>
    </w:tbl>
    <w:p>
      <w:pPr>
        <w:spacing w:after="0" w:line="40" w:lineRule="exact"/>
        <w:rPr>
          <w:sz w:val="20"/>
          <w:szCs w:val="20"/>
          <w:color w:val="auto"/>
        </w:rPr>
      </w:pPr>
    </w:p>
    <w:p>
      <w:pPr xmlns:w="http://schemas.openxmlformats.org/wordprocessingml/2006/main">
        <w:jc w:val="both"/>
        <w:ind w:left="40" w:right="80"/>
        <w:spacing w:after="0" w:line="300" w:lineRule="auto"/>
        <w:rPr>
          <w:sz w:val="20"/>
          <w:szCs w:val="20"/>
          <w:color w:val="auto"/>
        </w:rPr>
      </w:pPr>
      <w:r>
        <w:rPr xmlns:w="http://schemas.openxmlformats.org/wordprocessingml/2006/main">
          <w:rFonts w:ascii="Arial" w:cs="Arial" w:eastAsia="Arial" w:hAnsi="Arial"/>
          <w:sz w:val="16"/>
          <w:szCs w:val="16"/>
          <w:color w:val="auto"/>
        </w:rPr>
        <w:t xml:space="preserve">Το ποσοστό που αναφέρεται είναι το μέγιστο ποσό που μπορεί να αφαιρεθεί από το κεφάλαιό σας πριν επενδυθεί (είσοδος) ή εξαργυρωθεί (έξοδος).</w:t>
      </w:r>
    </w:p>
    <w:p>
      <w:pPr>
        <w:spacing w:after="0" w:line="60"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shd w:val="clear" w:color="auto" w:fill="EE7F00"/>
        </w:rPr>
        <w:t xml:space="preserve">Τέλη που εισπράττει η SICAV επί ένα έτος</w:t>
      </w:r>
    </w:p>
    <w:p>
      <w:pPr>
        <w:spacing w:after="0" w:line="72" w:lineRule="exact"/>
        <w:rPr>
          <w:sz w:val="20"/>
          <w:szCs w:val="20"/>
          <w:color w:val="auto"/>
        </w:rPr>
      </w:pPr>
    </w:p>
    <w:tbl>
      <w:tblPr>
        <w:tblLayout w:type="fixed"/>
        <w:tblInd w:w="0" w:type="dxa"/>
        <w:tblCellMar>
          <w:top w:w="0" w:type="dxa"/>
          <w:left w:w="0" w:type="dxa"/>
          <w:bottom w:w="0" w:type="dxa"/>
          <w:right w:w="0" w:type="dxa"/>
        </w:tblCellMar>
      </w:tblPr>
      <w:tr>
        <w:trPr>
          <w:trHeight w:val="268"/>
        </w:trPr>
        <w:tc>
          <w:tcPr>
            <w:tcW w:w="2480" w:type="dxa"/>
            <w:vAlign w:val="bottom"/>
            <w:tcBorders>
              <w:top w:val="single" w:sz="8" w:color="auto"/>
              <w:right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Δαπάνες λειτουργίας</w:t>
            </w:r>
          </w:p>
        </w:tc>
        <w:tc>
          <w:tcPr>
            <w:tcW w:w="2480" w:type="dxa"/>
            <w:vAlign w:val="bottom"/>
            <w:tcBorders>
              <w:top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0,6% του μέσου καθαρού ενεργητικού</w:t>
            </w:r>
          </w:p>
        </w:tc>
      </w:tr>
      <w:tr>
        <w:trPr>
          <w:trHeight w:val="52"/>
        </w:trPr>
        <w:tc>
          <w:tcPr>
            <w:tcW w:w="640" w:type="dxa"/>
            <w:vAlign w:val="bottom"/>
            <w:tcBorders>
              <w:bottom w:val="single" w:sz="8" w:color="auto"/>
            </w:tcBorders>
          </w:tcPr>
          <w:p>
            <w:pPr>
              <w:spacing w:after="0"/>
              <w:rPr>
                <w:sz w:val="4"/>
                <w:szCs w:val="4"/>
                <w:color w:val="auto"/>
              </w:rPr>
            </w:pPr>
          </w:p>
        </w:tc>
        <w:tc>
          <w:tcPr>
            <w:tcW w:w="1840" w:type="dxa"/>
            <w:vAlign w:val="bottom"/>
            <w:tcBorders>
              <w:bottom w:val="single" w:sz="8" w:color="auto"/>
              <w:right w:val="single" w:sz="8" w:color="auto"/>
            </w:tcBorders>
          </w:tcPr>
          <w:p>
            <w:pPr>
              <w:spacing w:after="0"/>
              <w:rPr>
                <w:sz w:val="4"/>
                <w:szCs w:val="4"/>
                <w:color w:val="auto"/>
              </w:rPr>
            </w:pPr>
          </w:p>
        </w:tc>
        <w:tc>
          <w:tcPr>
            <w:tcW w:w="2480" w:type="dxa"/>
            <w:vAlign w:val="bottom"/>
            <w:tcBorders>
              <w:bottom w:val="single" w:sz="8" w:color="auto"/>
            </w:tcBorders>
          </w:tcPr>
          <w:p>
            <w:pPr>
              <w:spacing w:after="0"/>
              <w:rPr>
                <w:sz w:val="4"/>
                <w:szCs w:val="4"/>
                <w:color w:val="auto"/>
              </w:rPr>
            </w:pPr>
          </w:p>
        </w:tc>
      </w:tr>
      <w:tr>
        <w:trPr>
          <w:trHeight w:val="238"/>
        </w:trPr>
        <w:tc>
          <w:tcPr>
            <w:tcW w:w="640" w:type="dxa"/>
            <w:vAlign w:val="bottom"/>
            <w:shd w:val="clear" w:color="auto" w:fill="EE7F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w w:val="95"/>
                <w:shd w:val="clear" w:color="auto" w:fill="EE7F00"/>
              </w:rPr>
              <w:t xml:space="preserve">Χρεώσεις</w:t>
            </w:r>
          </w:p>
        </w:tc>
        <w:tc>
          <w:tcPr>
            <w:tcW w:w="4300" w:type="dxa"/>
            <w:vAlign w:val="bottom"/>
            <w:gridSpan w:val="2"/>
            <w:shd w:val="clear" w:color="auto" w:fill="EE7F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shd w:val="clear" w:color="auto" w:fill="EE7F00"/>
              </w:rPr>
              <w:t xml:space="preserve">που εισπράττει η SICAV υπό ορισμένες περιστάσεις</w:t>
            </w:r>
          </w:p>
        </w:tc>
      </w:tr>
      <w:tr>
        <w:trPr>
          <w:trHeight w:val="62"/>
        </w:trPr>
        <w:tc>
          <w:tcPr>
            <w:tcW w:w="640" w:type="dxa"/>
            <w:vAlign w:val="bottom"/>
            <w:tcBorders>
              <w:bottom w:val="single" w:sz="8" w:color="auto"/>
            </w:tcBorders>
            <w:shd w:val="clear" w:color="auto" w:fill="EE7F00"/>
          </w:tcPr>
          <w:p>
            <w:pPr>
              <w:spacing w:after="0"/>
              <w:rPr>
                <w:sz w:val="5"/>
                <w:szCs w:val="5"/>
                <w:color w:val="auto"/>
              </w:rPr>
            </w:pPr>
          </w:p>
        </w:tc>
        <w:tc>
          <w:tcPr>
            <w:tcW w:w="1840" w:type="dxa"/>
            <w:vAlign w:val="bottom"/>
            <w:tcBorders>
              <w:bottom w:val="single" w:sz="8" w:color="auto"/>
              <w:right w:val="single" w:sz="8" w:color="EE7F00"/>
            </w:tcBorders>
            <w:shd w:val="clear" w:color="auto" w:fill="EE7F00"/>
          </w:tcPr>
          <w:p>
            <w:pPr>
              <w:spacing w:after="0"/>
              <w:rPr>
                <w:sz w:val="5"/>
                <w:szCs w:val="5"/>
                <w:color w:val="auto"/>
              </w:rPr>
            </w:pPr>
          </w:p>
        </w:tc>
        <w:tc>
          <w:tcPr>
            <w:tcW w:w="2480" w:type="dxa"/>
            <w:vAlign w:val="bottom"/>
            <w:tcBorders>
              <w:bottom w:val="single" w:sz="8" w:color="auto"/>
            </w:tcBorders>
            <w:shd w:val="clear" w:color="auto" w:fill="EE7F00"/>
          </w:tcPr>
          <w:p>
            <w:pPr>
              <w:spacing w:after="0"/>
              <w:rPr>
                <w:sz w:val="5"/>
                <w:szCs w:val="5"/>
                <w:color w:val="auto"/>
              </w:rPr>
            </w:pPr>
          </w:p>
        </w:tc>
      </w:tr>
      <w:tr>
        <w:trPr>
          <w:trHeight w:val="248"/>
        </w:trPr>
        <w:tc>
          <w:tcPr>
            <w:tcW w:w="2480" w:type="dxa"/>
            <w:vAlign w:val="bottom"/>
            <w:tcBorders>
              <w:right w:val="single" w:sz="8" w:color="auto"/>
            </w:tcBorders>
            <w:gridSpan w:val="2"/>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b w:val="1"/>
                <w:bCs w:val="1"/>
                <w:color w:val="auto"/>
              </w:rPr>
              <w:t xml:space="preserve">Αμοιβή επίδοσης</w:t>
            </w:r>
          </w:p>
        </w:tc>
        <w:tc>
          <w:tcPr>
            <w:tcW w:w="2480" w:type="dxa"/>
            <w:vAlign w:val="bottom"/>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auto"/>
              </w:rPr>
              <w:t xml:space="preserve">0</w:t>
            </w:r>
          </w:p>
        </w:tc>
      </w:tr>
      <w:tr>
        <w:trPr>
          <w:trHeight w:val="52"/>
        </w:trPr>
        <w:tc>
          <w:tcPr>
            <w:tcW w:w="640" w:type="dxa"/>
            <w:vAlign w:val="bottom"/>
            <w:tcBorders>
              <w:bottom w:val="single" w:sz="8" w:color="auto"/>
            </w:tcBorders>
          </w:tcPr>
          <w:p>
            <w:pPr>
              <w:spacing w:after="0"/>
              <w:rPr>
                <w:sz w:val="4"/>
                <w:szCs w:val="4"/>
                <w:color w:val="auto"/>
              </w:rPr>
            </w:pPr>
          </w:p>
        </w:tc>
        <w:tc>
          <w:tcPr>
            <w:tcW w:w="1840" w:type="dxa"/>
            <w:vAlign w:val="bottom"/>
            <w:tcBorders>
              <w:bottom w:val="single" w:sz="8" w:color="auto"/>
              <w:right w:val="single" w:sz="8" w:color="auto"/>
            </w:tcBorders>
          </w:tcPr>
          <w:p>
            <w:pPr>
              <w:spacing w:after="0"/>
              <w:rPr>
                <w:sz w:val="4"/>
                <w:szCs w:val="4"/>
                <w:color w:val="auto"/>
              </w:rPr>
            </w:pPr>
          </w:p>
        </w:tc>
        <w:tc>
          <w:tcPr>
            <w:tcW w:w="2480" w:type="dxa"/>
            <w:vAlign w:val="bottom"/>
            <w:tcBorders>
              <w:bottom w:val="single" w:sz="8" w:color="auto"/>
            </w:tcBorders>
          </w:tcPr>
          <w:p>
            <w:pPr>
              <w:spacing w:after="0"/>
              <w:rPr>
                <w:sz w:val="4"/>
                <w:szCs w:val="4"/>
                <w:color w:val="auto"/>
              </w:rPr>
            </w:pP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0" w:lineRule="exact"/>
        <w:rPr>
          <w:sz w:val="20"/>
          <w:szCs w:val="20"/>
          <w:color w:val="auto"/>
        </w:rPr>
      </w:pPr>
    </w:p>
    <w:p>
      <w:pPr xmlns:w="http://schemas.openxmlformats.org/wordprocessingml/2006/main">
        <w:spacing w:after="0" w:line="275" w:lineRule="auto"/>
        <w:rPr>
          <w:sz w:val="20"/>
          <w:szCs w:val="20"/>
          <w:color w:val="auto"/>
        </w:rPr>
      </w:pPr>
      <w:r>
        <w:rPr xmlns:w="http://schemas.openxmlformats.org/wordprocessingml/2006/main">
          <w:rFonts w:ascii="Arial" w:cs="Arial" w:eastAsia="Arial" w:hAnsi="Arial"/>
          <w:sz w:val="14"/>
          <w:szCs w:val="14"/>
          <w:b w:val="1"/>
          <w:bCs w:val="1"/>
          <w:color w:val="auto"/>
        </w:rPr>
        <w:t xml:space="preserve">*Στη δευτερογενή αγορά</w:t>
      </w:r>
      <w:r>
        <w:rPr xmlns:w="http://schemas.openxmlformats.org/wordprocessingml/2006/main">
          <w:rFonts w:ascii="Arial" w:cs="Arial" w:eastAsia="Arial" w:hAnsi="Arial"/>
          <w:sz w:val="14"/>
          <w:szCs w:val="14"/>
          <w:color w:val="auto"/>
        </w:rPr>
        <w:t xml:space="preserve">:</w:t>
      </w:r>
      <w:r>
        <w:rPr xmlns:w="http://schemas.openxmlformats.org/wordprocessingml/2006/main">
          <w:rFonts w:ascii="Arial" w:cs="Arial" w:eastAsia="Arial" w:hAnsi="Arial"/>
          <w:sz w:val="14"/>
          <w:szCs w:val="14"/>
          <w:color w:val="auto"/>
        </w:rPr>
        <w:t xml:space="preserve"> Το Ταμείο είναι ένα ETF, οπότε οι επενδυτές που δεν είναι εξουσιοδοτημένοι συμμετέχοντες θα πρέπει καταρχήν να αγοράζουν ή να</w:t>
      </w:r>
    </w:p>
    <w:p>
      <w:pPr>
        <w:spacing w:after="0" w:line="1" w:lineRule="exact"/>
        <w:rPr>
          <w:sz w:val="20"/>
          <w:szCs w:val="20"/>
          <w:color w:val="auto"/>
        </w:rPr>
      </w:pP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να πωλούν τις μετοχές του Ταμείου στη δευτερογενή αγορά.</w:t>
      </w:r>
      <w:r>
        <w:rPr xmlns:w="http://schemas.openxmlformats.org/wordprocessingml/2006/main">
          <w:rFonts w:ascii="Arial" w:cs="Arial" w:eastAsia="Arial" w:hAnsi="Arial"/>
          <w:sz w:val="14"/>
          <w:szCs w:val="14"/>
          <w:color w:val="auto"/>
        </w:rPr>
        <w:t xml:space="preserve"> Στη δευτερογενή αγορά, οι επενδυτές μπορούν να υπόκεινται σε τέλη μεσιτείας</w:t>
      </w: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ή/και τέλη συναλλαγής που σχετίζονται με την τοποθέτηση της εντολής αγοράς/πώλησής τους στο σχετικό χρηματιστήριο.</w:t>
      </w:r>
      <w:r>
        <w:rPr xmlns:w="http://schemas.openxmlformats.org/wordprocessingml/2006/main">
          <w:rFonts w:ascii="Arial" w:cs="Arial" w:eastAsia="Arial" w:hAnsi="Arial"/>
          <w:sz w:val="14"/>
          <w:szCs w:val="14"/>
          <w:color w:val="auto"/>
        </w:rPr>
        <w:t xml:space="preserve"> Τα τέλη αυτά εισπράττονται από διαμεσολαβητές της αγοράς και δεν εισπράττονται από/επιστρέφονται στο Ταμείο ή στην εταιρεία διαχείρισης.</w:t>
      </w:r>
      <w:r>
        <w:rPr xmlns:w="http://schemas.openxmlformats.org/wordprocessingml/2006/main">
          <w:rFonts w:ascii="Arial" w:cs="Arial" w:eastAsia="Arial" w:hAnsi="Arial"/>
          <w:sz w:val="14"/>
          <w:szCs w:val="14"/>
          <w:color w:val="auto"/>
        </w:rPr>
        <w:t xml:space="preserve"> Οι επενδυτές μπορούν επίσης να καταβάλουν ένα πρόσθετο ποσό</w:t>
      </w:r>
    </w:p>
    <w:p>
      <w:pPr>
        <w:spacing w:after="0" w:line="1" w:lineRule="exact"/>
        <w:rPr>
          <w:sz w:val="20"/>
          <w:szCs w:val="20"/>
          <w:color w:val="auto"/>
        </w:rPr>
      </w:pP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ως αποτέλεσμα της διαφοράς μεταξύ της τιμής πώλησης και της τιμής αγοράς των μετοχών του Ταμείου (διαφορά προσφοράς-ζήτησης).</w:t>
      </w: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b w:val="1"/>
          <w:bCs w:val="1"/>
          <w:color w:val="auto"/>
        </w:rPr>
        <w:t xml:space="preserve">Στην πρωτογενή αγορά</w:t>
      </w:r>
      <w:r>
        <w:rPr xmlns:w="http://schemas.openxmlformats.org/wordprocessingml/2006/main">
          <w:rFonts w:ascii="Arial" w:cs="Arial" w:eastAsia="Arial" w:hAnsi="Arial"/>
          <w:sz w:val="14"/>
          <w:szCs w:val="14"/>
          <w:color w:val="auto"/>
        </w:rPr>
        <w:t xml:space="preserve">:</w:t>
      </w:r>
      <w:r>
        <w:rPr xmlns:w="http://schemas.openxmlformats.org/wordprocessingml/2006/main">
          <w:rFonts w:ascii="Arial" w:cs="Arial" w:eastAsia="Arial" w:hAnsi="Arial"/>
          <w:sz w:val="14"/>
          <w:szCs w:val="14"/>
          <w:color w:val="auto"/>
        </w:rPr>
        <w:t xml:space="preserve"> Οι εξουσιοδοτημένοι συμμετέχοντες που εγγράφουν/εξαγοράζουν τις μετοχές τους στο Ταμείο θα καταβάλλουν άμεσα τα σχετικά έξοδα</w:t>
      </w: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στην πρωτογενή αγορά του Ταμείου, όπως περιγράφεται στο τμήμα 4 του ενημερωτικού δελτίου Οι </w:t>
      </w:r>
      <w:r>
        <w:rPr xmlns:w="http://schemas.openxmlformats.org/wordprocessingml/2006/main">
          <w:rFonts w:ascii="Arial" w:cs="Arial" w:eastAsia="Arial" w:hAnsi="Arial"/>
          <w:sz w:val="14"/>
          <w:szCs w:val="14"/>
          <w:b w:val="1"/>
          <w:bCs w:val="1"/>
          <w:color w:val="auto"/>
        </w:rPr>
        <w:t xml:space="preserve">τρέχουσες επιβαρύνσεις</w:t>
      </w:r>
      <w:r>
        <w:rPr xmlns:w="http://schemas.openxmlformats.org/wordprocessingml/2006/main">
          <w:rFonts w:ascii="Arial" w:cs="Arial" w:eastAsia="Arial" w:hAnsi="Arial"/>
          <w:sz w:val="14"/>
          <w:szCs w:val="14"/>
          <w:color w:val="auto"/>
        </w:rPr>
        <w:t xml:space="preserve"> βασίζονται σε αριθμητικά στοιχεία για το προηγούμενο οικονομικό έτος, που έληξε στις </w:t>
      </w:r>
      <w:r>
        <w:rPr xmlns:w="http://schemas.openxmlformats.org/wordprocessingml/2006/main">
          <w:rFonts w:ascii="Arial" w:cs="Arial" w:eastAsia="Arial" w:hAnsi="Arial"/>
          <w:sz w:val="14"/>
          <w:szCs w:val="14"/>
          <w:color w:val="auto"/>
        </w:rPr>
        <w:t xml:space="preserve">31 Οκτωβρίου 2022.</w:t>
      </w:r>
      <w:r>
        <w:rPr xmlns:w="http://schemas.openxmlformats.org/wordprocessingml/2006/main">
          <w:rFonts w:ascii="Arial" w:cs="Arial" w:eastAsia="Arial" w:hAnsi="Arial"/>
          <w:sz w:val="14"/>
          <w:szCs w:val="14"/>
          <w:color w:val="auto"/>
        </w:rPr>
        <w:t xml:space="preserve"> Το ποσοστό αυτό μπορεί να διαφέρει από έτος σε έτος.</w:t>
      </w:r>
      <w:r>
        <w:rPr xmlns:w="http://schemas.openxmlformats.org/wordprocessingml/2006/main">
          <w:rFonts w:ascii="Arial" w:cs="Arial" w:eastAsia="Arial" w:hAnsi="Arial"/>
          <w:sz w:val="14"/>
          <w:szCs w:val="14"/>
          <w:color w:val="auto"/>
        </w:rPr>
        <w:t xml:space="preserve"> Εξαιρούνται:</w:t>
      </w:r>
    </w:p>
    <w:p>
      <w:pPr>
        <w:spacing w:after="0" w:line="1" w:lineRule="exact"/>
        <w:rPr>
          <w:sz w:val="20"/>
          <w:szCs w:val="20"/>
          <w:color w:val="auto"/>
        </w:rPr>
      </w:pP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Τέλη επίδοσης,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-85090</wp:posOffset>
            </wp:positionV>
            <wp:extent cx="88900" cy="889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92" w:lineRule="auto"/>
        <w:rPr>
          <w:sz w:val="20"/>
          <w:szCs w:val="20"/>
          <w:color w:val="auto"/>
        </w:rPr>
      </w:pPr>
      <w:r>
        <w:rPr xmlns:w="http://schemas.openxmlformats.org/wordprocessingml/2006/main">
          <w:rFonts w:ascii="Arial" w:cs="Arial" w:eastAsia="Arial" w:hAnsi="Arial"/>
          <w:sz w:val="14"/>
          <w:szCs w:val="14"/>
          <w:color w:val="auto"/>
        </w:rPr>
        <w:t xml:space="preserve">Τέλη μεσιτείας, εκτός από τα τέλη εισόδου και εξόδου που καταβάλλει ο ΟΣΕΚΑ κατά την αγορά ή πώληση μεριδίων σε άλλο Ταμείο.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6350</wp:posOffset>
            </wp:positionH>
            <wp:positionV relativeFrom="paragraph">
              <wp:posOffset>-231775</wp:posOffset>
            </wp:positionV>
            <wp:extent cx="88900" cy="8890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w:spacing w:after="0" w:line="1" w:lineRule="exact"/>
        <w:rPr>
          <w:sz w:val="20"/>
          <w:szCs w:val="20"/>
          <w:color w:val="auto"/>
        </w:rPr>
      </w:pPr>
    </w:p>
    <w:p>
      <w:pPr>
        <w:sectPr>
          <w:pgSz w:w="11900" w:h="16838" w:orient="portrait"/>
          <w:cols w:equalWidth="0" w:num="2">
            <w:col w:w="4940" w:space="80"/>
            <w:col w:w="4880"/>
          </w:cols>
          <w:pgMar w:left="1000" w:top="1088" w:right="1006" w:bottom="0" w:gutter="0" w:footer="0" w:header="0"/>
          <w:type w:val="continuous"/>
        </w:sectPr>
      </w:pPr>
    </w:p>
    <w:p>
      <w:pPr xmlns:w="http://schemas.openxmlformats.org/wordprocessingml/2006/main">
        <w:spacing w:after="0" w:line="308" w:lineRule="auto"/>
        <w:rPr>
          <w:sz w:val="20"/>
          <w:szCs w:val="20"/>
          <w:color w:val="auto"/>
        </w:rPr>
      </w:pPr>
      <w:r>
        <w:rPr xmlns:w="http://schemas.openxmlformats.org/wordprocessingml/2006/main">
          <w:rFonts w:ascii="Arial" w:cs="Arial" w:eastAsia="Arial" w:hAnsi="Arial"/>
          <w:sz w:val="14"/>
          <w:szCs w:val="14"/>
          <w:color w:val="auto"/>
        </w:rPr>
        <w:t xml:space="preserve">Για περισσότερες πληροφορίες σχετικά με τις επιβαρύνσεις του Ταμείου, ανατρέξτε στο τμήμα «Έξοδα και Αμοιβές» του ενημερωτικού δελτίου του Ταμείου, το οποίο είναι διαθέσιμο στη διεύθυνση amundietf.com.</w:t>
      </w:r>
    </w:p>
    <w:p>
      <w:pPr>
        <w:sectPr>
          <w:pgSz w:w="11900" w:h="16838" w:orient="portrait"/>
          <w:cols w:equalWidth="0" w:num="1">
            <w:col w:w="9900"/>
          </w:cols>
          <w:pgMar w:left="1000" w:top="1088" w:right="1006" w:bottom="0" w:gutter="0" w:footer="0" w:header="0"/>
          <w:type w:val="continuous"/>
        </w:sectPr>
      </w:pPr>
    </w:p>
    <w:p>
      <w:pPr>
        <w:spacing w:after="0" w:line="29"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Προηγούμενες επιδόσεις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-137795</wp:posOffset>
                </wp:positionV>
                <wp:extent cx="6290310" cy="151765"/>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151765"/>
                        </a:xfrm>
                        <a:prstGeom prst="rect">
                          <a:avLst/>
                        </a:prstGeom>
                        <a:solidFill>
                          <a:srgbClr val="AFAFAF"/>
                        </a:solidFill>
                      </wps:spPr>
                      <wps:bodyPr/>
                    </wps:wsp>
                  </a:graphicData>
                </a:graphic>
              </wp:anchor>
            </w:drawing>
          </mc:Choice>
          <mc:Fallback>
            <w:pict>
              <v:rect id="Shape 18" o:spid="_x0000_s1043" style="position:absolute;margin-left:0pt;margin-top:-10.8499pt;width:495.3pt;height:11.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203" w:lineRule="exact"/>
        <w:rPr>
          <w:sz w:val="20"/>
          <w:szCs w:val="20"/>
          <w:color w:val="auto"/>
        </w:rPr>
      </w:pPr>
    </w:p>
    <w:tbl>
      <w:tblPr>
        <w:tblLayout w:type="fixed"/>
        <w:tblInd w:w="80" w:type="dxa"/>
        <w:tblCellMar>
          <w:top w:w="0" w:type="dxa"/>
          <w:left w:w="0" w:type="dxa"/>
          <w:bottom w:w="0" w:type="dxa"/>
          <w:right w:w="0" w:type="dxa"/>
        </w:tblCellMar>
      </w:tblPr>
      <w:tr>
        <w:trPr>
          <w:trHeight w:val="135"/>
        </w:trPr>
        <w:tc>
          <w:tcPr>
            <w:tcW w:w="34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280" w:type="dxa"/>
            <w:vAlign w:val="bottom"/>
            <w:gridSpan w:val="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0"/>
                <w:szCs w:val="10"/>
                <w:color w:val="auto"/>
                <w:w w:val="86"/>
              </w:rPr>
              <w:t xml:space="preserve">ΔΑ</w:t>
            </w:r>
          </w:p>
        </w:tc>
        <w:tc>
          <w:tcPr>
            <w:tcW w:w="180" w:type="dxa"/>
            <w:vAlign w:val="bottom"/>
          </w:tcPr>
          <w:p>
            <w:pPr>
              <w:spacing w:after="0"/>
              <w:rPr>
                <w:sz w:val="11"/>
                <w:szCs w:val="11"/>
                <w:color w:val="auto"/>
              </w:rPr>
            </w:pPr>
          </w:p>
        </w:tc>
        <w:tc>
          <w:tcPr>
            <w:tcW w:w="300" w:type="dxa"/>
            <w:vAlign w:val="bottom"/>
            <w:gridSpan w:val="2"/>
          </w:tcPr>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0"/>
                <w:szCs w:val="10"/>
                <w:color w:val="auto"/>
              </w:rPr>
              <w:t xml:space="preserve">Γ</w:t>
            </w:r>
          </w:p>
        </w:tc>
        <w:tc>
          <w:tcPr>
            <w:tcW w:w="100" w:type="dxa"/>
            <w:vAlign w:val="bottom"/>
          </w:tcPr>
          <w:p>
            <w:pPr>
              <w:spacing w:after="0"/>
              <w:rPr>
                <w:sz w:val="11"/>
                <w:szCs w:val="11"/>
                <w:color w:val="auto"/>
              </w:rPr>
            </w:pPr>
          </w:p>
        </w:tc>
        <w:tc>
          <w:tcPr>
            <w:tcW w:w="360" w:type="dxa"/>
            <w:vAlign w:val="bottom"/>
            <w:gridSpan w:val="3"/>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rPr>
              <w:t xml:space="preserve">Β</w:t>
            </w:r>
          </w:p>
        </w:tc>
        <w:tc>
          <w:tcPr>
            <w:tcW w:w="20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300" w:type="dxa"/>
            <w:vAlign w:val="bottom"/>
            <w:gridSpan w:val="3"/>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0"/>
                <w:szCs w:val="10"/>
                <w:color w:val="auto"/>
              </w:rPr>
              <w:t xml:space="preserve">Ε</w:t>
            </w:r>
          </w:p>
        </w:tc>
        <w:tc>
          <w:tcPr>
            <w:tcW w:w="180" w:type="dxa"/>
            <w:vAlign w:val="bottom"/>
          </w:tcPr>
          <w:p>
            <w:pPr>
              <w:spacing w:after="0"/>
              <w:rPr>
                <w:sz w:val="11"/>
                <w:szCs w:val="11"/>
                <w:color w:val="auto"/>
              </w:rPr>
            </w:pPr>
          </w:p>
        </w:tc>
        <w:tc>
          <w:tcPr>
            <w:tcW w:w="1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1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22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484"/>
        </w:trPr>
        <w:tc>
          <w:tcPr>
            <w:tcW w:w="340" w:type="dxa"/>
            <w:vAlign w:val="bottom"/>
            <w:vMerge w:val="restart"/>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rPr>
              <w:t xml:space="preserve">20</w:t>
            </w: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vMerge w:val="restart"/>
            <w:textDirection w:val="btLr"/>
          </w:tcPr>
          <w:p>
            <w:pPr xmlns:w="http://schemas.openxmlformats.org/wordprocessingml/2006/main">
              <w:ind w:right="5"/>
              <w:spacing w:after="0"/>
              <w:rPr>
                <w:sz w:val="20"/>
                <w:szCs w:val="20"/>
                <w:color w:val="auto"/>
              </w:rPr>
            </w:pPr>
            <w:r>
              <w:rPr xmlns:w="http://schemas.openxmlformats.org/wordprocessingml/2006/main">
                <w:rFonts w:ascii="Arial" w:cs="Arial" w:eastAsia="Arial" w:hAnsi="Arial"/>
                <w:sz w:val="10"/>
                <w:szCs w:val="10"/>
                <w:color w:val="auto"/>
                <w:w w:val="98"/>
              </w:rPr>
              <w:t xml:space="preserve">9%2.</w:t>
            </w:r>
          </w:p>
        </w:tc>
        <w:tc>
          <w:tcPr>
            <w:tcW w:w="80" w:type="dxa"/>
            <w:vAlign w:val="bottom"/>
          </w:tcPr>
          <w:p>
            <w:pPr>
              <w:spacing w:after="0"/>
              <w:rPr>
                <w:sz w:val="24"/>
                <w:szCs w:val="24"/>
                <w:color w:val="auto"/>
              </w:rPr>
            </w:pPr>
          </w:p>
        </w:tc>
        <w:tc>
          <w:tcPr>
            <w:tcW w:w="180" w:type="dxa"/>
            <w:vAlign w:val="bottom"/>
            <w:vMerge w:val="restart"/>
            <w:textDirection w:val="btLr"/>
          </w:tcPr>
          <w:p>
            <w:pPr xmlns:w="http://schemas.openxmlformats.org/wordprocessingml/2006/main">
              <w:ind w:right="3"/>
              <w:spacing w:after="0"/>
              <w:rPr>
                <w:sz w:val="20"/>
                <w:szCs w:val="20"/>
                <w:color w:val="auto"/>
              </w:rPr>
            </w:pPr>
            <w:r>
              <w:rPr xmlns:w="http://schemas.openxmlformats.org/wordprocessingml/2006/main">
                <w:rFonts w:ascii="Arial" w:cs="Arial" w:eastAsia="Arial" w:hAnsi="Arial"/>
                <w:sz w:val="10"/>
                <w:szCs w:val="10"/>
                <w:color w:val="auto"/>
                <w:w w:val="98"/>
              </w:rPr>
              <w:t xml:space="preserve">5%2.</w:t>
            </w:r>
          </w:p>
        </w:tc>
        <w:tc>
          <w:tcPr>
            <w:tcW w:w="200" w:type="dxa"/>
            <w:vAlign w:val="bottom"/>
            <w:gridSpan w:val="2"/>
            <w:vMerge w:val="restart"/>
            <w:textDirection w:val="btLr"/>
          </w:tcPr>
          <w:p>
            <w:pPr xmlns:w="http://schemas.openxmlformats.org/wordprocessingml/2006/main">
              <w:ind w:right="44"/>
              <w:spacing w:after="0"/>
              <w:rPr>
                <w:sz w:val="20"/>
                <w:szCs w:val="20"/>
                <w:color w:val="auto"/>
              </w:rPr>
            </w:pPr>
            <w:r>
              <w:rPr xmlns:w="http://schemas.openxmlformats.org/wordprocessingml/2006/main">
                <w:rFonts w:ascii="Arial" w:cs="Arial" w:eastAsia="Arial" w:hAnsi="Arial"/>
                <w:sz w:val="10"/>
                <w:szCs w:val="10"/>
                <w:color w:val="auto"/>
                <w:w w:val="98"/>
              </w:rPr>
              <w:t xml:space="preserve">1%23.</w:t>
            </w:r>
          </w:p>
        </w:tc>
        <w:tc>
          <w:tcPr>
            <w:tcW w:w="80" w:type="dxa"/>
            <w:vAlign w:val="bottom"/>
          </w:tcPr>
          <w:p>
            <w:pPr>
              <w:spacing w:after="0"/>
              <w:rPr>
                <w:sz w:val="24"/>
                <w:szCs w:val="24"/>
                <w:color w:val="auto"/>
              </w:rPr>
            </w:pPr>
          </w:p>
        </w:tc>
        <w:tc>
          <w:tcPr>
            <w:tcW w:w="200" w:type="dxa"/>
            <w:vAlign w:val="bottom"/>
            <w:vMerge w:val="restart"/>
            <w:textDirection w:val="btLr"/>
          </w:tcPr>
          <w:p>
            <w:pPr xmlns:w="http://schemas.openxmlformats.org/wordprocessingml/2006/main">
              <w:ind w:left="23"/>
              <w:spacing w:after="0"/>
              <w:rPr>
                <w:sz w:val="20"/>
                <w:szCs w:val="20"/>
                <w:color w:val="auto"/>
              </w:rPr>
            </w:pPr>
            <w:r>
              <w:rPr xmlns:w="http://schemas.openxmlformats.org/wordprocessingml/2006/main">
                <w:rFonts w:ascii="Arial" w:cs="Arial" w:eastAsia="Arial" w:hAnsi="Arial"/>
                <w:sz w:val="10"/>
                <w:szCs w:val="10"/>
                <w:color w:val="auto"/>
                <w:w w:val="98"/>
              </w:rPr>
              <w:t xml:space="preserve">5%18.</w:t>
            </w:r>
          </w:p>
        </w:tc>
        <w:tc>
          <w:tcPr>
            <w:tcW w:w="200" w:type="dxa"/>
            <w:vAlign w:val="bottom"/>
            <w:vMerge w:val="restart"/>
            <w:textDirection w:val="btLr"/>
          </w:tcPr>
          <w:p>
            <w:pPr xmlns:w="http://schemas.openxmlformats.org/wordprocessingml/2006/main">
              <w:ind w:right="3"/>
              <w:spacing w:after="0"/>
              <w:rPr>
                <w:sz w:val="20"/>
                <w:szCs w:val="20"/>
                <w:color w:val="auto"/>
              </w:rPr>
            </w:pPr>
            <w:r>
              <w:rPr xmlns:w="http://schemas.openxmlformats.org/wordprocessingml/2006/main">
                <w:rFonts w:ascii="Arial" w:cs="Arial" w:eastAsia="Arial" w:hAnsi="Arial"/>
                <w:sz w:val="10"/>
                <w:szCs w:val="10"/>
                <w:color w:val="auto"/>
                <w:w w:val="98"/>
              </w:rPr>
              <w:t xml:space="preserve">0%19.</w:t>
            </w:r>
          </w:p>
        </w:tc>
        <w:tc>
          <w:tcPr>
            <w:tcW w:w="80" w:type="dxa"/>
            <w:vAlign w:val="bottom"/>
          </w:tcPr>
          <w:p>
            <w:pPr>
              <w:spacing w:after="0"/>
              <w:rPr>
                <w:sz w:val="24"/>
                <w:szCs w:val="24"/>
                <w:color w:val="auto"/>
              </w:rPr>
            </w:pPr>
          </w:p>
        </w:tc>
        <w:tc>
          <w:tcPr>
            <w:tcW w:w="180" w:type="dxa"/>
            <w:vAlign w:val="bottom"/>
            <w:vMerge w:val="restart"/>
            <w:textDirection w:val="btLr"/>
          </w:tcPr>
          <w:p>
            <w:pPr xmlns:w="http://schemas.openxmlformats.org/wordprocessingml/2006/main">
              <w:ind w:right="1"/>
              <w:spacing w:after="0"/>
              <w:rPr>
                <w:sz w:val="20"/>
                <w:szCs w:val="20"/>
                <w:color w:val="auto"/>
              </w:rPr>
            </w:pPr>
            <w:r>
              <w:rPr xmlns:w="http://schemas.openxmlformats.org/wordprocessingml/2006/main">
                <w:rFonts w:ascii="Arial" w:cs="Arial" w:eastAsia="Arial" w:hAnsi="Arial"/>
                <w:sz w:val="10"/>
                <w:szCs w:val="10"/>
                <w:color w:val="auto"/>
                <w:w w:val="96"/>
              </w:rPr>
              <w:t xml:space="preserve">3%9.</w:t>
            </w:r>
          </w:p>
        </w:tc>
        <w:tc>
          <w:tcPr>
            <w:tcW w:w="20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6"/>
              </w:rPr>
              <w:t xml:space="preserve">9%9.</w:t>
            </w:r>
          </w:p>
        </w:tc>
        <w:tc>
          <w:tcPr>
            <w:tcW w:w="100" w:type="dxa"/>
            <w:vAlign w:val="bottom"/>
          </w:tcPr>
          <w:p>
            <w:pPr>
              <w:spacing w:after="0"/>
              <w:rPr>
                <w:sz w:val="24"/>
                <w:szCs w:val="24"/>
                <w:color w:val="auto"/>
              </w:rPr>
            </w:pPr>
          </w:p>
        </w:tc>
        <w:tc>
          <w:tcPr>
            <w:tcW w:w="10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8"/>
              </w:rPr>
              <w:t xml:space="preserve">3%10.</w:t>
            </w:r>
          </w:p>
        </w:tc>
        <w:tc>
          <w:tcPr>
            <w:tcW w:w="280" w:type="dxa"/>
            <w:vAlign w:val="bottom"/>
            <w:gridSpan w:val="2"/>
            <w:vMerge w:val="restart"/>
            <w:textDirection w:val="btLr"/>
          </w:tcPr>
          <w:p>
            <w:pPr xmlns:w="http://schemas.openxmlformats.org/wordprocessingml/2006/main">
              <w:ind w:right="51"/>
              <w:spacing w:after="0"/>
              <w:rPr>
                <w:sz w:val="20"/>
                <w:szCs w:val="20"/>
                <w:color w:val="auto"/>
              </w:rPr>
            </w:pPr>
            <w:r>
              <w:rPr xmlns:w="http://schemas.openxmlformats.org/wordprocessingml/2006/main">
                <w:rFonts w:ascii="Arial" w:cs="Arial" w:eastAsia="Arial" w:hAnsi="Arial"/>
                <w:sz w:val="10"/>
                <w:szCs w:val="10"/>
                <w:color w:val="auto"/>
                <w:w w:val="98"/>
              </w:rPr>
              <w:t xml:space="preserve">0%11.</w:t>
            </w: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vMerge w:val="restart"/>
            <w:textDirection w:val="btLr"/>
          </w:tcPr>
          <w:p>
            <w:pPr xmlns:w="http://schemas.openxmlformats.org/wordprocessingml/2006/main">
              <w:ind w:right="8"/>
              <w:spacing w:after="0"/>
              <w:rPr>
                <w:sz w:val="20"/>
                <w:szCs w:val="20"/>
                <w:color w:val="auto"/>
              </w:rPr>
            </w:pPr>
            <w:r>
              <w:rPr xmlns:w="http://schemas.openxmlformats.org/wordprocessingml/2006/main">
                <w:rFonts w:ascii="Arial" w:cs="Arial" w:eastAsia="Arial" w:hAnsi="Arial"/>
                <w:sz w:val="10"/>
                <w:szCs w:val="10"/>
                <w:color w:val="auto"/>
                <w:w w:val="98"/>
              </w:rPr>
              <w:t xml:space="preserve">3%38.</w:t>
            </w:r>
          </w:p>
        </w:tc>
        <w:tc>
          <w:tcPr>
            <w:tcW w:w="20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8"/>
              </w:rPr>
              <w:t xml:space="preserve">5%39.</w:t>
            </w: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vMerge w:val="restart"/>
            <w:textDirection w:val="btLr"/>
          </w:tcPr>
          <w:p>
            <w:pPr xmlns:w="http://schemas.openxmlformats.org/wordprocessingml/2006/main">
              <w:ind w:right="15"/>
              <w:spacing w:after="0"/>
              <w:rPr>
                <w:sz w:val="20"/>
                <w:szCs w:val="20"/>
                <w:color w:val="auto"/>
              </w:rPr>
            </w:pPr>
            <w:r>
              <w:rPr xmlns:w="http://schemas.openxmlformats.org/wordprocessingml/2006/main">
                <w:rFonts w:ascii="Arial" w:cs="Arial" w:eastAsia="Arial" w:hAnsi="Arial"/>
                <w:sz w:val="10"/>
                <w:szCs w:val="10"/>
                <w:color w:val="auto"/>
                <w:w w:val="96"/>
              </w:rPr>
              <w:t xml:space="preserve">1%8.</w:t>
            </w:r>
          </w:p>
        </w:tc>
        <w:tc>
          <w:tcPr>
            <w:tcW w:w="12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6"/>
              </w:rPr>
              <w:t xml:space="preserve">0%9.</w:t>
            </w:r>
          </w:p>
        </w:tc>
        <w:tc>
          <w:tcPr>
            <w:tcW w:w="340" w:type="dxa"/>
            <w:vAlign w:val="bottom"/>
            <w:gridSpan w:val="3"/>
            <w:vMerge w:val="restart"/>
            <w:textDirection w:val="btLr"/>
          </w:tcPr>
          <w:p>
            <w:pPr xmlns:w="http://schemas.openxmlformats.org/wordprocessingml/2006/main">
              <w:ind w:right="56"/>
              <w:spacing w:after="0"/>
              <w:rPr>
                <w:sz w:val="20"/>
                <w:szCs w:val="20"/>
                <w:color w:val="auto"/>
              </w:rPr>
            </w:pPr>
            <w:r>
              <w:rPr xmlns:w="http://schemas.openxmlformats.org/wordprocessingml/2006/main">
                <w:rFonts w:ascii="Arial" w:cs="Arial" w:eastAsia="Arial" w:hAnsi="Arial"/>
                <w:sz w:val="10"/>
                <w:szCs w:val="10"/>
                <w:color w:val="auto"/>
                <w:w w:val="98"/>
              </w:rPr>
              <w:t xml:space="preserve">4%33.</w:t>
            </w:r>
          </w:p>
        </w:tc>
        <w:tc>
          <w:tcPr>
            <w:tcW w:w="20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w w:val="98"/>
              </w:rPr>
              <w:t xml:space="preserve">7%32.</w:t>
            </w: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45"/>
        </w:trPr>
        <w:tc>
          <w:tcPr>
            <w:tcW w:w="340" w:type="dxa"/>
            <w:vAlign w:val="bottom"/>
            <w:vMerge w:val="continue"/>
          </w:tcPr>
          <w:p>
            <w:pPr>
              <w:spacing w:after="0"/>
              <w:rPr>
                <w:sz w:val="24"/>
                <w:szCs w:val="24"/>
                <w:color w:val="auto"/>
              </w:rPr>
            </w:pPr>
          </w:p>
        </w:tc>
        <w:tc>
          <w:tcPr>
            <w:tcW w:w="80" w:type="dxa"/>
            <w:vAlign w:val="bottom"/>
            <w:tcBorders>
              <w:right w:val="single" w:sz="8" w:color="auto"/>
            </w:tcBorders>
          </w:tcPr>
          <w:p>
            <w:pPr>
              <w:spacing w:after="0"/>
              <w:rPr>
                <w:sz w:val="24"/>
                <w:szCs w:val="24"/>
                <w:color w:val="auto"/>
              </w:rPr>
            </w:pPr>
          </w:p>
        </w:tc>
        <w:tc>
          <w:tcPr>
            <w:tcW w:w="200" w:type="dxa"/>
            <w:vAlign w:val="bottom"/>
            <w:textDirection w:val="btLr"/>
          </w:tcPr>
          <w:p>
            <w:pPr xmlns:w="http://schemas.openxmlformats.org/wordprocessingml/2006/main">
              <w:ind w:right="14"/>
              <w:spacing w:after="0"/>
              <w:rPr>
                <w:sz w:val="20"/>
                <w:szCs w:val="20"/>
                <w:color w:val="auto"/>
              </w:rPr>
            </w:pPr>
            <w:r>
              <w:rPr xmlns:w="http://schemas.openxmlformats.org/wordprocessingml/2006/main">
                <w:rFonts w:ascii="Arial" w:cs="Arial" w:eastAsia="Arial" w:hAnsi="Arial"/>
                <w:sz w:val="10"/>
                <w:szCs w:val="10"/>
                <w:color w:val="auto"/>
                <w:w w:val="98"/>
              </w:rPr>
              <w:t xml:space="preserve">3%2.</w:t>
            </w:r>
          </w:p>
        </w:tc>
        <w:tc>
          <w:tcPr>
            <w:tcW w:w="2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vMerge w:val="continue"/>
          </w:tcPr>
          <w:p>
            <w:pPr>
              <w:spacing w:after="0"/>
              <w:rPr>
                <w:sz w:val="24"/>
                <w:szCs w:val="24"/>
                <w:color w:val="auto"/>
              </w:rPr>
            </w:pPr>
          </w:p>
        </w:tc>
        <w:tc>
          <w:tcPr>
            <w:tcW w:w="20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vMerge w:val="continue"/>
          </w:tcPr>
          <w:p>
            <w:pPr>
              <w:spacing w:after="0"/>
              <w:rPr>
                <w:sz w:val="24"/>
                <w:szCs w:val="24"/>
                <w:color w:val="auto"/>
              </w:rPr>
            </w:pPr>
          </w:p>
        </w:tc>
        <w:tc>
          <w:tcPr>
            <w:tcW w:w="2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vMerge w:val="continue"/>
          </w:tcPr>
          <w:p>
            <w:pPr>
              <w:spacing w:after="0"/>
              <w:rPr>
                <w:sz w:val="24"/>
                <w:szCs w:val="24"/>
                <w:color w:val="auto"/>
              </w:rPr>
            </w:pPr>
          </w:p>
        </w:tc>
        <w:tc>
          <w:tcPr>
            <w:tcW w:w="200" w:type="dxa"/>
            <w:vAlign w:val="bottom"/>
            <w:vMerge w:val="continue"/>
          </w:tcPr>
          <w:p>
            <w:pPr>
              <w:spacing w:after="0"/>
              <w:rPr>
                <w:sz w:val="24"/>
                <w:szCs w:val="24"/>
                <w:color w:val="auto"/>
              </w:rPr>
            </w:pPr>
          </w:p>
        </w:tc>
        <w:tc>
          <w:tcPr>
            <w:tcW w:w="100" w:type="dxa"/>
            <w:vAlign w:val="bottom"/>
          </w:tcPr>
          <w:p>
            <w:pPr>
              <w:spacing w:after="0"/>
              <w:rPr>
                <w:sz w:val="24"/>
                <w:szCs w:val="24"/>
                <w:color w:val="auto"/>
              </w:rPr>
            </w:pPr>
          </w:p>
        </w:tc>
        <w:tc>
          <w:tcPr>
            <w:tcW w:w="100" w:type="dxa"/>
            <w:vAlign w:val="bottom"/>
            <w:vMerge w:val="continue"/>
          </w:tcPr>
          <w:p>
            <w:pPr>
              <w:spacing w:after="0"/>
              <w:rPr>
                <w:sz w:val="24"/>
                <w:szCs w:val="24"/>
                <w:color w:val="auto"/>
              </w:rPr>
            </w:pPr>
          </w:p>
        </w:tc>
        <w:tc>
          <w:tcPr>
            <w:tcW w:w="280" w:type="dxa"/>
            <w:vAlign w:val="bottom"/>
            <w:gridSpan w:val="2"/>
            <w:vMerge w:val="continue"/>
          </w:tcPr>
          <w:p>
            <w:pPr>
              <w:spacing w:after="0"/>
              <w:rPr>
                <w:sz w:val="24"/>
                <w:szCs w:val="24"/>
                <w:color w:val="auto"/>
              </w:rPr>
            </w:pPr>
          </w:p>
        </w:tc>
        <w:tc>
          <w:tcPr>
            <w:tcW w:w="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180" w:type="dxa"/>
            <w:vAlign w:val="bottom"/>
            <w:vMerge w:val="continue"/>
          </w:tcPr>
          <w:p>
            <w:pPr>
              <w:spacing w:after="0"/>
              <w:rPr>
                <w:sz w:val="24"/>
                <w:szCs w:val="24"/>
                <w:color w:val="auto"/>
              </w:rPr>
            </w:pPr>
          </w:p>
        </w:tc>
        <w:tc>
          <w:tcPr>
            <w:tcW w:w="2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80" w:type="dxa"/>
            <w:vAlign w:val="bottom"/>
            <w:vMerge w:val="continue"/>
          </w:tcPr>
          <w:p>
            <w:pPr>
              <w:spacing w:after="0"/>
              <w:rPr>
                <w:sz w:val="24"/>
                <w:szCs w:val="24"/>
                <w:color w:val="auto"/>
              </w:rPr>
            </w:pPr>
          </w:p>
        </w:tc>
        <w:tc>
          <w:tcPr>
            <w:tcW w:w="120" w:type="dxa"/>
            <w:vAlign w:val="bottom"/>
            <w:vMerge w:val="continue"/>
          </w:tcPr>
          <w:p>
            <w:pPr>
              <w:spacing w:after="0"/>
              <w:rPr>
                <w:sz w:val="24"/>
                <w:szCs w:val="24"/>
                <w:color w:val="auto"/>
              </w:rPr>
            </w:pPr>
          </w:p>
        </w:tc>
        <w:tc>
          <w:tcPr>
            <w:tcW w:w="340" w:type="dxa"/>
            <w:vAlign w:val="bottom"/>
            <w:gridSpan w:val="3"/>
            <w:vMerge w:val="continue"/>
          </w:tcPr>
          <w:p>
            <w:pPr>
              <w:spacing w:after="0"/>
              <w:rPr>
                <w:sz w:val="24"/>
                <w:szCs w:val="24"/>
                <w:color w:val="auto"/>
              </w:rPr>
            </w:pPr>
          </w:p>
        </w:tc>
        <w:tc>
          <w:tcPr>
            <w:tcW w:w="200" w:type="dxa"/>
            <w:vAlign w:val="bottom"/>
            <w:vMerge w:val="continue"/>
          </w:tcPr>
          <w:p>
            <w:pPr>
              <w:spacing w:after="0"/>
              <w:rPr>
                <w:sz w:val="24"/>
                <w:szCs w:val="24"/>
                <w:color w:val="auto"/>
              </w:rPr>
            </w:pPr>
          </w:p>
        </w:tc>
        <w:tc>
          <w:tcPr>
            <w:tcW w:w="80" w:type="dxa"/>
            <w:vAlign w:val="bottom"/>
          </w:tcPr>
          <w:p>
            <w:pPr>
              <w:spacing w:after="0"/>
              <w:rPr>
                <w:sz w:val="24"/>
                <w:szCs w:val="24"/>
                <w:color w:val="auto"/>
              </w:rPr>
            </w:pPr>
          </w:p>
        </w:tc>
        <w:tc>
          <w:tcPr>
            <w:tcW w:w="22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97"/>
        </w:trPr>
        <w:tc>
          <w:tcPr>
            <w:tcW w:w="34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0"/>
                <w:szCs w:val="10"/>
                <w:color w:val="auto"/>
              </w:rPr>
              <w:t xml:space="preserve">40%.</w:t>
            </w:r>
          </w:p>
        </w:tc>
        <w:tc>
          <w:tcPr>
            <w:tcW w:w="80" w:type="dxa"/>
            <w:vAlign w:val="bottom"/>
            <w:tcBorders>
              <w:right w:val="single" w:sz="8" w:color="auto"/>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100" w:type="dxa"/>
            <w:vAlign w:val="bottom"/>
            <w:tcBorders>
              <w:bottom w:val="single" w:sz="8" w:color="CCCCCC"/>
            </w:tcBorders>
          </w:tcPr>
          <w:p>
            <w:pPr>
              <w:spacing w:after="0"/>
              <w:rPr>
                <w:sz w:val="16"/>
                <w:szCs w:val="16"/>
                <w:color w:val="auto"/>
              </w:rPr>
            </w:pPr>
          </w:p>
        </w:tc>
        <w:tc>
          <w:tcPr>
            <w:tcW w:w="1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100" w:type="dxa"/>
            <w:vAlign w:val="bottom"/>
            <w:tcBorders>
              <w:bottom w:val="single" w:sz="8" w:color="CCCCCC"/>
            </w:tcBorders>
          </w:tcPr>
          <w:p>
            <w:pPr>
              <w:spacing w:after="0"/>
              <w:rPr>
                <w:sz w:val="16"/>
                <w:szCs w:val="16"/>
                <w:color w:val="auto"/>
              </w:rPr>
            </w:pPr>
          </w:p>
        </w:tc>
        <w:tc>
          <w:tcPr>
            <w:tcW w:w="1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200" w:type="dxa"/>
            <w:vAlign w:val="bottom"/>
            <w:tcBorders>
              <w:bottom w:val="single" w:sz="8" w:color="auto"/>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12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18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80" w:type="dxa"/>
            <w:vAlign w:val="bottom"/>
            <w:tcBorders>
              <w:bottom w:val="single" w:sz="8" w:color="CCCCCC"/>
            </w:tcBorders>
          </w:tcPr>
          <w:p>
            <w:pPr>
              <w:spacing w:after="0"/>
              <w:rPr>
                <w:sz w:val="16"/>
                <w:szCs w:val="16"/>
                <w:color w:val="auto"/>
              </w:rPr>
            </w:pPr>
          </w:p>
        </w:tc>
        <w:tc>
          <w:tcPr>
            <w:tcW w:w="220" w:type="dxa"/>
            <w:vAlign w:val="bottom"/>
            <w:tcBorders>
              <w:bottom w:val="single" w:sz="8" w:color="CCCCCC"/>
            </w:tcBorders>
          </w:tcPr>
          <w:p>
            <w:pPr>
              <w:spacing w:after="0"/>
              <w:rPr>
                <w:sz w:val="16"/>
                <w:szCs w:val="16"/>
                <w:color w:val="auto"/>
              </w:rPr>
            </w:pPr>
          </w:p>
        </w:tc>
        <w:tc>
          <w:tcPr>
            <w:tcW w:w="200" w:type="dxa"/>
            <w:vAlign w:val="bottom"/>
            <w:tcBorders>
              <w:bottom w:val="single" w:sz="8" w:color="CCCCCC"/>
            </w:tcBorders>
          </w:tcPr>
          <w:p>
            <w:pPr>
              <w:spacing w:after="0"/>
              <w:rPr>
                <w:sz w:val="16"/>
                <w:szCs w:val="16"/>
                <w:color w:val="auto"/>
              </w:rPr>
            </w:pPr>
          </w:p>
        </w:tc>
        <w:tc>
          <w:tcPr>
            <w:tcW w:w="0" w:type="dxa"/>
            <w:vAlign w:val="bottom"/>
          </w:tcPr>
          <w:p>
            <w:pPr>
              <w:spacing w:after="0"/>
              <w:rPr>
                <w:sz w:val="1"/>
                <w:szCs w:val="1"/>
                <w:color w:val="auto"/>
              </w:rPr>
            </w:pPr>
          </w:p>
        </w:tc>
      </w:tr>
      <w:tr>
        <w:trPr>
          <w:trHeight w:val="58"/>
        </w:trPr>
        <w:tc>
          <w:tcPr>
            <w:tcW w:w="340" w:type="dxa"/>
            <w:vAlign w:val="bottom"/>
          </w:tcPr>
          <w:p>
            <w:pPr xmlns:w="http://schemas.openxmlformats.org/wordprocessingml/2006/main">
              <w:jc w:val="right"/>
              <w:ind w:right="153"/>
              <w:spacing w:after="0" w:line="58" w:lineRule="exact"/>
              <w:rPr>
                <w:sz w:val="20"/>
                <w:szCs w:val="20"/>
                <w:color w:val="auto"/>
              </w:rPr>
            </w:pPr>
            <w:r>
              <w:rPr xmlns:w="http://schemas.openxmlformats.org/wordprocessingml/2006/main">
                <w:rFonts w:ascii="Arial" w:cs="Arial" w:eastAsia="Arial" w:hAnsi="Arial"/>
                <w:sz w:val="6"/>
                <w:szCs w:val="6"/>
                <w:color w:val="auto"/>
              </w:rPr>
              <w:t xml:space="preserve">30</w:t>
            </w:r>
          </w:p>
        </w:tc>
        <w:tc>
          <w:tcPr>
            <w:tcW w:w="80" w:type="dxa"/>
            <w:vAlign w:val="bottom"/>
            <w:tcBorders>
              <w:right w:val="single" w:sz="8" w:color="auto"/>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180" w:type="dxa"/>
            <w:vAlign w:val="bottom"/>
            <w:tcBorders>
              <w:top w:val="single" w:sz="8" w:color="CCCCCC"/>
            </w:tcBorders>
          </w:tcPr>
          <w:p>
            <w:pPr>
              <w:spacing w:after="0"/>
              <w:rPr>
                <w:sz w:val="5"/>
                <w:szCs w:val="5"/>
                <w:color w:val="auto"/>
              </w:rPr>
            </w:pPr>
          </w:p>
        </w:tc>
        <w:tc>
          <w:tcPr>
            <w:tcW w:w="100" w:type="dxa"/>
            <w:vAlign w:val="bottom"/>
            <w:tcBorders>
              <w:top w:val="single" w:sz="8" w:color="CCCCCC"/>
            </w:tcBorders>
          </w:tcPr>
          <w:p>
            <w:pPr>
              <w:spacing w:after="0"/>
              <w:rPr>
                <w:sz w:val="5"/>
                <w:szCs w:val="5"/>
                <w:color w:val="auto"/>
              </w:rPr>
            </w:pPr>
          </w:p>
        </w:tc>
        <w:tc>
          <w:tcPr>
            <w:tcW w:w="1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18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100" w:type="dxa"/>
            <w:vAlign w:val="bottom"/>
            <w:tcBorders>
              <w:top w:val="single" w:sz="8" w:color="CCCCCC"/>
            </w:tcBorders>
          </w:tcPr>
          <w:p>
            <w:pPr>
              <w:spacing w:after="0"/>
              <w:rPr>
                <w:sz w:val="5"/>
                <w:szCs w:val="5"/>
                <w:color w:val="auto"/>
              </w:rPr>
            </w:pPr>
          </w:p>
        </w:tc>
        <w:tc>
          <w:tcPr>
            <w:tcW w:w="1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80" w:type="dxa"/>
            <w:vAlign w:val="bottom"/>
            <w:tcBorders>
              <w:top w:val="single" w:sz="8" w:color="CCCCCC"/>
              <w:right w:val="single" w:sz="8" w:color="auto"/>
            </w:tcBorders>
          </w:tcPr>
          <w:p>
            <w:pPr>
              <w:spacing w:after="0"/>
              <w:rPr>
                <w:sz w:val="5"/>
                <w:szCs w:val="5"/>
                <w:color w:val="auto"/>
              </w:rPr>
            </w:pPr>
          </w:p>
        </w:tc>
        <w:tc>
          <w:tcPr>
            <w:tcW w:w="180" w:type="dxa"/>
            <w:vAlign w:val="bottom"/>
            <w:tcBorders>
              <w:top w:val="single" w:sz="8" w:color="auto"/>
              <w:right w:val="single" w:sz="8" w:color="auto"/>
            </w:tcBorders>
          </w:tcPr>
          <w:p>
            <w:pPr>
              <w:spacing w:after="0"/>
              <w:rPr>
                <w:sz w:val="5"/>
                <w:szCs w:val="5"/>
                <w:color w:val="auto"/>
              </w:rPr>
            </w:pPr>
          </w:p>
        </w:tc>
        <w:tc>
          <w:tcPr>
            <w:tcW w:w="200" w:type="dxa"/>
            <w:vAlign w:val="bottom"/>
            <w:tcBorders>
              <w:top w:val="single" w:sz="8" w:color="CCCCCC"/>
              <w:right w:val="single" w:sz="8" w:color="auto"/>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0" w:type="dxa"/>
            <w:vAlign w:val="bottom"/>
            <w:tcBorders>
              <w:top w:val="single" w:sz="8" w:color="CCCCCC"/>
            </w:tcBorders>
          </w:tcPr>
          <w:p>
            <w:pPr>
              <w:spacing w:after="0"/>
              <w:rPr>
                <w:sz w:val="5"/>
                <w:szCs w:val="5"/>
                <w:color w:val="auto"/>
              </w:rPr>
            </w:pPr>
          </w:p>
        </w:tc>
        <w:tc>
          <w:tcPr>
            <w:tcW w:w="180" w:type="dxa"/>
            <w:vAlign w:val="bottom"/>
            <w:tcBorders>
              <w:top w:val="single" w:sz="8" w:color="CCCCCC"/>
            </w:tcBorders>
          </w:tcPr>
          <w:p>
            <w:pPr>
              <w:spacing w:after="0"/>
              <w:rPr>
                <w:sz w:val="5"/>
                <w:szCs w:val="5"/>
                <w:color w:val="auto"/>
              </w:rPr>
            </w:pPr>
          </w:p>
        </w:tc>
        <w:tc>
          <w:tcPr>
            <w:tcW w:w="120" w:type="dxa"/>
            <w:vAlign w:val="bottom"/>
            <w:tcBorders>
              <w:top w:val="single" w:sz="8" w:color="CCCCCC"/>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80" w:type="dxa"/>
            <w:vAlign w:val="bottom"/>
            <w:tcBorders>
              <w:top w:val="single" w:sz="8" w:color="CCCCCC"/>
              <w:right w:val="single" w:sz="8" w:color="auto"/>
            </w:tcBorders>
          </w:tcPr>
          <w:p>
            <w:pPr>
              <w:spacing w:after="0"/>
              <w:rPr>
                <w:sz w:val="5"/>
                <w:szCs w:val="5"/>
                <w:color w:val="auto"/>
              </w:rPr>
            </w:pPr>
          </w:p>
        </w:tc>
        <w:tc>
          <w:tcPr>
            <w:tcW w:w="180" w:type="dxa"/>
            <w:vAlign w:val="bottom"/>
            <w:tcBorders>
              <w:top w:val="single" w:sz="8" w:color="auto"/>
              <w:right w:val="single" w:sz="8" w:color="auto"/>
            </w:tcBorders>
          </w:tcPr>
          <w:p>
            <w:pPr>
              <w:spacing w:after="0"/>
              <w:rPr>
                <w:sz w:val="5"/>
                <w:szCs w:val="5"/>
                <w:color w:val="auto"/>
              </w:rPr>
            </w:pPr>
          </w:p>
        </w:tc>
        <w:tc>
          <w:tcPr>
            <w:tcW w:w="200" w:type="dxa"/>
            <w:vAlign w:val="bottom"/>
            <w:tcBorders>
              <w:top w:val="single" w:sz="8" w:color="auto"/>
              <w:right w:val="single" w:sz="8" w:color="auto"/>
            </w:tcBorders>
          </w:tcPr>
          <w:p>
            <w:pPr>
              <w:spacing w:after="0"/>
              <w:rPr>
                <w:sz w:val="5"/>
                <w:szCs w:val="5"/>
                <w:color w:val="auto"/>
              </w:rPr>
            </w:pPr>
          </w:p>
        </w:tc>
        <w:tc>
          <w:tcPr>
            <w:tcW w:w="80" w:type="dxa"/>
            <w:vAlign w:val="bottom"/>
            <w:tcBorders>
              <w:top w:val="single" w:sz="8" w:color="CCCCCC"/>
            </w:tcBorders>
          </w:tcPr>
          <w:p>
            <w:pPr>
              <w:spacing w:after="0"/>
              <w:rPr>
                <w:sz w:val="5"/>
                <w:szCs w:val="5"/>
                <w:color w:val="auto"/>
              </w:rPr>
            </w:pPr>
          </w:p>
        </w:tc>
        <w:tc>
          <w:tcPr>
            <w:tcW w:w="220" w:type="dxa"/>
            <w:vAlign w:val="bottom"/>
            <w:tcBorders>
              <w:top w:val="single" w:sz="8" w:color="CCCCCC"/>
            </w:tcBorders>
          </w:tcPr>
          <w:p>
            <w:pPr>
              <w:spacing w:after="0"/>
              <w:rPr>
                <w:sz w:val="5"/>
                <w:szCs w:val="5"/>
                <w:color w:val="auto"/>
              </w:rPr>
            </w:pPr>
          </w:p>
        </w:tc>
        <w:tc>
          <w:tcPr>
            <w:tcW w:w="200" w:type="dxa"/>
            <w:vAlign w:val="bottom"/>
            <w:tcBorders>
              <w:top w:val="single" w:sz="8" w:color="CCCCCC"/>
            </w:tcBorders>
          </w:tcPr>
          <w:p>
            <w:pPr>
              <w:spacing w:after="0"/>
              <w:rPr>
                <w:sz w:val="5"/>
                <w:szCs w:val="5"/>
                <w:color w:val="auto"/>
              </w:rPr>
            </w:pPr>
          </w:p>
        </w:tc>
        <w:tc>
          <w:tcPr>
            <w:tcW w:w="0" w:type="dxa"/>
            <w:vAlign w:val="bottom"/>
          </w:tcPr>
          <w:p>
            <w:pPr>
              <w:spacing w:after="0"/>
              <w:rPr>
                <w:sz w:val="1"/>
                <w:szCs w:val="1"/>
                <w:color w:val="auto"/>
              </w:rPr>
            </w:pPr>
          </w:p>
        </w:tc>
      </w:tr>
      <w:tr>
        <w:trPr>
          <w:trHeight w:val="122"/>
        </w:trPr>
        <w:tc>
          <w:tcPr>
            <w:tcW w:w="340" w:type="dxa"/>
            <w:vAlign w:val="bottom"/>
            <w:vMerge w:val="restart"/>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rPr>
              <w:t xml:space="preserve">10</w:t>
            </w:r>
          </w:p>
        </w:tc>
        <w:tc>
          <w:tcPr>
            <w:tcW w:w="80" w:type="dxa"/>
            <w:vAlign w:val="bottom"/>
            <w:tcBorders>
              <w:right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200" w:type="dxa"/>
            <w:vAlign w:val="bottom"/>
            <w:tcBorders>
              <w:bottom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100" w:type="dxa"/>
            <w:vAlign w:val="bottom"/>
            <w:tcBorders>
              <w:bottom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1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80" w:type="dxa"/>
            <w:vAlign w:val="bottom"/>
            <w:tcBorders>
              <w:right w:val="single" w:sz="8" w:color="auto"/>
            </w:tcBorders>
          </w:tcPr>
          <w:p>
            <w:pPr>
              <w:spacing w:after="0"/>
              <w:rPr>
                <w:sz w:val="10"/>
                <w:szCs w:val="10"/>
                <w:color w:val="auto"/>
              </w:rPr>
            </w:pPr>
          </w:p>
        </w:tc>
        <w:tc>
          <w:tcPr>
            <w:tcW w:w="180" w:type="dxa"/>
            <w:vAlign w:val="bottom"/>
            <w:tcBorders>
              <w:right w:val="single" w:sz="8" w:color="auto"/>
            </w:tcBorders>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20" w:type="dxa"/>
            <w:vAlign w:val="bottom"/>
          </w:tcPr>
          <w:p>
            <w:pPr>
              <w:spacing w:after="0"/>
              <w:rPr>
                <w:sz w:val="10"/>
                <w:szCs w:val="10"/>
                <w:color w:val="auto"/>
              </w:rPr>
            </w:pPr>
          </w:p>
        </w:tc>
        <w:tc>
          <w:tcPr>
            <w:tcW w:w="180" w:type="dxa"/>
            <w:vAlign w:val="bottom"/>
          </w:tcPr>
          <w:p>
            <w:pPr>
              <w:spacing w:after="0"/>
              <w:rPr>
                <w:sz w:val="10"/>
                <w:szCs w:val="10"/>
                <w:color w:val="auto"/>
              </w:rPr>
            </w:pPr>
          </w:p>
        </w:tc>
        <w:tc>
          <w:tcPr>
            <w:tcW w:w="120" w:type="dxa"/>
            <w:vAlign w:val="bottom"/>
          </w:tcPr>
          <w:p>
            <w:pPr>
              <w:spacing w:after="0"/>
              <w:rPr>
                <w:sz w:val="10"/>
                <w:szCs w:val="10"/>
                <w:color w:val="auto"/>
              </w:rPr>
            </w:pPr>
          </w:p>
        </w:tc>
        <w:tc>
          <w:tcPr>
            <w:tcW w:w="80" w:type="dxa"/>
            <w:vAlign w:val="bottom"/>
          </w:tcPr>
          <w:p>
            <w:pPr>
              <w:spacing w:after="0"/>
              <w:rPr>
                <w:sz w:val="10"/>
                <w:szCs w:val="10"/>
                <w:color w:val="auto"/>
              </w:rPr>
            </w:pPr>
          </w:p>
        </w:tc>
        <w:tc>
          <w:tcPr>
            <w:tcW w:w="80" w:type="dxa"/>
            <w:vAlign w:val="bottom"/>
            <w:tcBorders>
              <w:right w:val="single" w:sz="8" w:color="auto"/>
            </w:tcBorders>
          </w:tcPr>
          <w:p>
            <w:pPr>
              <w:spacing w:after="0"/>
              <w:rPr>
                <w:sz w:val="10"/>
                <w:szCs w:val="10"/>
                <w:color w:val="auto"/>
              </w:rPr>
            </w:pPr>
          </w:p>
        </w:tc>
        <w:tc>
          <w:tcPr>
            <w:tcW w:w="180" w:type="dxa"/>
            <w:vAlign w:val="bottom"/>
            <w:tcBorders>
              <w:right w:val="single" w:sz="8" w:color="auto"/>
            </w:tcBorders>
          </w:tcPr>
          <w:p>
            <w:pPr>
              <w:spacing w:after="0"/>
              <w:rPr>
                <w:sz w:val="10"/>
                <w:szCs w:val="10"/>
                <w:color w:val="auto"/>
              </w:rPr>
            </w:pPr>
          </w:p>
        </w:tc>
        <w:tc>
          <w:tcPr>
            <w:tcW w:w="20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220" w:type="dxa"/>
            <w:vAlign w:val="bottom"/>
          </w:tcPr>
          <w:p>
            <w:pPr>
              <w:spacing w:after="0"/>
              <w:rPr>
                <w:sz w:val="10"/>
                <w:szCs w:val="10"/>
                <w:color w:val="auto"/>
              </w:rPr>
            </w:pPr>
          </w:p>
        </w:tc>
        <w:tc>
          <w:tcPr>
            <w:tcW w:w="2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52"/>
        </w:trPr>
        <w:tc>
          <w:tcPr>
            <w:tcW w:w="340" w:type="dxa"/>
            <w:vAlign w:val="bottom"/>
            <w:vMerge w:val="continue"/>
          </w:tcPr>
          <w:p>
            <w:pPr>
              <w:spacing w:after="0"/>
              <w:rPr>
                <w:sz w:val="13"/>
                <w:szCs w:val="13"/>
                <w:color w:val="auto"/>
              </w:rPr>
            </w:pPr>
          </w:p>
        </w:tc>
        <w:tc>
          <w:tcPr>
            <w:tcW w:w="80" w:type="dxa"/>
            <w:vAlign w:val="bottom"/>
            <w:tcBorders>
              <w:right w:val="single" w:sz="8" w:color="auto"/>
            </w:tcBorders>
          </w:tcPr>
          <w:p>
            <w:pPr>
              <w:spacing w:after="0"/>
              <w:rPr>
                <w:sz w:val="13"/>
                <w:szCs w:val="13"/>
                <w:color w:val="auto"/>
              </w:rPr>
            </w:pPr>
          </w:p>
        </w:tc>
        <w:tc>
          <w:tcPr>
            <w:tcW w:w="200" w:type="dxa"/>
            <w:vAlign w:val="bottom"/>
            <w:tcBorders>
              <w:top w:val="single" w:sz="8" w:color="CCCCCC"/>
              <w:bottom w:val="single" w:sz="8" w:color="CCCCCC"/>
              <w:right w:val="single" w:sz="8" w:color="auto"/>
            </w:tcBorders>
          </w:tcPr>
          <w:p>
            <w:pPr>
              <w:spacing w:after="0"/>
              <w:rPr>
                <w:sz w:val="13"/>
                <w:szCs w:val="13"/>
                <w:color w:val="auto"/>
              </w:rPr>
            </w:pPr>
          </w:p>
        </w:tc>
        <w:tc>
          <w:tcPr>
            <w:tcW w:w="200" w:type="dxa"/>
            <w:vAlign w:val="bottom"/>
            <w:tcBorders>
              <w:top w:val="single" w:sz="8" w:color="CCCCCC"/>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right w:val="single" w:sz="8" w:color="auto"/>
            </w:tcBorders>
          </w:tcPr>
          <w:p>
            <w:pPr>
              <w:spacing w:after="0"/>
              <w:rPr>
                <w:sz w:val="13"/>
                <w:szCs w:val="13"/>
                <w:color w:val="auto"/>
              </w:rPr>
            </w:pPr>
          </w:p>
        </w:tc>
        <w:tc>
          <w:tcPr>
            <w:tcW w:w="180" w:type="dxa"/>
            <w:vAlign w:val="bottom"/>
            <w:tcBorders>
              <w:top w:val="single" w:sz="8" w:color="CCCCCC"/>
              <w:bottom w:val="single" w:sz="8" w:color="CCCCCC"/>
              <w:right w:val="single" w:sz="8" w:color="auto"/>
            </w:tcBorders>
          </w:tcPr>
          <w:p>
            <w:pPr>
              <w:spacing w:after="0"/>
              <w:rPr>
                <w:sz w:val="13"/>
                <w:szCs w:val="13"/>
                <w:color w:val="auto"/>
              </w:rPr>
            </w:pPr>
          </w:p>
        </w:tc>
        <w:tc>
          <w:tcPr>
            <w:tcW w:w="100" w:type="dxa"/>
            <w:vAlign w:val="bottom"/>
            <w:tcBorders>
              <w:top w:val="single" w:sz="8" w:color="CCCCCC"/>
              <w:bottom w:val="single" w:sz="8" w:color="CCCCCC"/>
            </w:tcBorders>
          </w:tcPr>
          <w:p>
            <w:pPr>
              <w:spacing w:after="0"/>
              <w:rPr>
                <w:sz w:val="13"/>
                <w:szCs w:val="13"/>
                <w:color w:val="auto"/>
              </w:rPr>
            </w:pPr>
          </w:p>
        </w:tc>
        <w:tc>
          <w:tcPr>
            <w:tcW w:w="100" w:type="dxa"/>
            <w:vAlign w:val="bottom"/>
            <w:tcBorders>
              <w:top w:val="single" w:sz="8" w:color="CCCCCC"/>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right w:val="single" w:sz="8" w:color="auto"/>
            </w:tcBorders>
          </w:tcPr>
          <w:p>
            <w:pPr>
              <w:spacing w:after="0"/>
              <w:rPr>
                <w:sz w:val="13"/>
                <w:szCs w:val="13"/>
                <w:color w:val="auto"/>
              </w:rPr>
            </w:pPr>
          </w:p>
        </w:tc>
        <w:tc>
          <w:tcPr>
            <w:tcW w:w="200" w:type="dxa"/>
            <w:vAlign w:val="bottom"/>
            <w:tcBorders>
              <w:top w:val="single" w:sz="8" w:color="auto"/>
              <w:bottom w:val="single" w:sz="8" w:color="CCCCCC"/>
              <w:right w:val="single" w:sz="8" w:color="auto"/>
            </w:tcBorders>
          </w:tcPr>
          <w:p>
            <w:pPr>
              <w:spacing w:after="0"/>
              <w:rPr>
                <w:sz w:val="13"/>
                <w:szCs w:val="13"/>
                <w:color w:val="auto"/>
              </w:rPr>
            </w:pPr>
          </w:p>
        </w:tc>
        <w:tc>
          <w:tcPr>
            <w:tcW w:w="200" w:type="dxa"/>
            <w:vAlign w:val="bottom"/>
            <w:tcBorders>
              <w:top w:val="single" w:sz="8" w:color="auto"/>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180" w:type="dxa"/>
            <w:vAlign w:val="bottom"/>
            <w:tcBorders>
              <w:top w:val="single" w:sz="8" w:color="CCCCCC"/>
              <w:bottom w:val="single" w:sz="8" w:color="CCCCCC"/>
            </w:tcBorders>
          </w:tcPr>
          <w:p>
            <w:pPr>
              <w:spacing w:after="0"/>
              <w:rPr>
                <w:sz w:val="13"/>
                <w:szCs w:val="13"/>
                <w:color w:val="auto"/>
              </w:rPr>
            </w:pPr>
          </w:p>
        </w:tc>
        <w:tc>
          <w:tcPr>
            <w:tcW w:w="200" w:type="dxa"/>
            <w:vAlign w:val="bottom"/>
            <w:tcBorders>
              <w:top w:val="single" w:sz="8" w:color="CCCCCC"/>
              <w:bottom w:val="single" w:sz="8" w:color="auto"/>
            </w:tcBorders>
          </w:tcPr>
          <w:p>
            <w:pPr>
              <w:spacing w:after="0"/>
              <w:rPr>
                <w:sz w:val="13"/>
                <w:szCs w:val="13"/>
                <w:color w:val="auto"/>
              </w:rPr>
            </w:pPr>
          </w:p>
        </w:tc>
        <w:tc>
          <w:tcPr>
            <w:tcW w:w="100" w:type="dxa"/>
            <w:vAlign w:val="bottom"/>
            <w:tcBorders>
              <w:top w:val="single" w:sz="8" w:color="CCCCCC"/>
              <w:bottom w:val="single" w:sz="8" w:color="CCCCCC"/>
            </w:tcBorders>
          </w:tcPr>
          <w:p>
            <w:pPr>
              <w:spacing w:after="0"/>
              <w:rPr>
                <w:sz w:val="13"/>
                <w:szCs w:val="13"/>
                <w:color w:val="auto"/>
              </w:rPr>
            </w:pPr>
          </w:p>
        </w:tc>
        <w:tc>
          <w:tcPr>
            <w:tcW w:w="100" w:type="dxa"/>
            <w:vAlign w:val="bottom"/>
            <w:tcBorders>
              <w:top w:val="single" w:sz="8" w:color="CCCCCC"/>
              <w:bottom w:val="single" w:sz="8" w:color="auto"/>
            </w:tcBorders>
          </w:tcPr>
          <w:p>
            <w:pPr>
              <w:spacing w:after="0"/>
              <w:rPr>
                <w:sz w:val="13"/>
                <w:szCs w:val="13"/>
                <w:color w:val="auto"/>
              </w:rPr>
            </w:pPr>
          </w:p>
        </w:tc>
        <w:tc>
          <w:tcPr>
            <w:tcW w:w="80" w:type="dxa"/>
            <w:vAlign w:val="bottom"/>
            <w:tcBorders>
              <w:top w:val="single" w:sz="8" w:color="CCCCCC"/>
              <w:bottom w:val="single" w:sz="8" w:color="auto"/>
            </w:tcBorders>
          </w:tcPr>
          <w:p>
            <w:pPr>
              <w:spacing w:after="0"/>
              <w:rPr>
                <w:sz w:val="13"/>
                <w:szCs w:val="13"/>
                <w:color w:val="auto"/>
              </w:rPr>
            </w:pPr>
          </w:p>
        </w:tc>
        <w:tc>
          <w:tcPr>
            <w:tcW w:w="200" w:type="dxa"/>
            <w:vAlign w:val="bottom"/>
            <w:tcBorders>
              <w:top w:val="single" w:sz="8" w:color="CCCCCC"/>
              <w:bottom w:val="single" w:sz="8" w:color="auto"/>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200" w:type="dxa"/>
            <w:vAlign w:val="bottom"/>
            <w:tcBorders>
              <w:top w:val="single" w:sz="8" w:color="CCCCCC"/>
              <w:bottom w:val="single" w:sz="8" w:color="CCCCCC"/>
            </w:tcBorders>
          </w:tcPr>
          <w:p>
            <w:pPr>
              <w:spacing w:after="0"/>
              <w:rPr>
                <w:sz w:val="13"/>
                <w:szCs w:val="13"/>
                <w:color w:val="auto"/>
              </w:rPr>
            </w:pPr>
          </w:p>
        </w:tc>
        <w:tc>
          <w:tcPr>
            <w:tcW w:w="200" w:type="dxa"/>
            <w:vAlign w:val="bottom"/>
            <w:tcBorders>
              <w:top w:val="single" w:sz="8" w:color="CCCCCC"/>
              <w:bottom w:val="single" w:sz="8" w:color="CCCCCC"/>
            </w:tcBorders>
          </w:tcPr>
          <w:p>
            <w:pPr>
              <w:spacing w:after="0"/>
              <w:rPr>
                <w:sz w:val="13"/>
                <w:szCs w:val="13"/>
                <w:color w:val="auto"/>
              </w:rPr>
            </w:pPr>
          </w:p>
        </w:tc>
        <w:tc>
          <w:tcPr>
            <w:tcW w:w="80" w:type="dxa"/>
            <w:vAlign w:val="bottom"/>
            <w:tcBorders>
              <w:top w:val="single" w:sz="8" w:color="CCCCCC"/>
              <w:bottom w:val="single" w:sz="8" w:color="CCCCCC"/>
              <w:right w:val="single" w:sz="8" w:color="auto"/>
            </w:tcBorders>
          </w:tcPr>
          <w:p>
            <w:pPr>
              <w:spacing w:after="0"/>
              <w:rPr>
                <w:sz w:val="13"/>
                <w:szCs w:val="13"/>
                <w:color w:val="auto"/>
              </w:rPr>
            </w:pPr>
          </w:p>
        </w:tc>
        <w:tc>
          <w:tcPr>
            <w:tcW w:w="180" w:type="dxa"/>
            <w:vAlign w:val="bottom"/>
            <w:tcBorders>
              <w:top w:val="single" w:sz="8" w:color="CCCCCC"/>
              <w:bottom w:val="single" w:sz="8" w:color="CCCCCC"/>
              <w:right w:val="single" w:sz="8" w:color="auto"/>
            </w:tcBorders>
          </w:tcPr>
          <w:p>
            <w:pPr>
              <w:spacing w:after="0"/>
              <w:rPr>
                <w:sz w:val="13"/>
                <w:szCs w:val="13"/>
                <w:color w:val="auto"/>
              </w:rPr>
            </w:pPr>
          </w:p>
        </w:tc>
        <w:tc>
          <w:tcPr>
            <w:tcW w:w="200" w:type="dxa"/>
            <w:vAlign w:val="bottom"/>
            <w:tcBorders>
              <w:top w:val="single" w:sz="8" w:color="CCCCCC"/>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20" w:type="dxa"/>
            <w:vAlign w:val="bottom"/>
            <w:tcBorders>
              <w:top w:val="single" w:sz="8" w:color="CCCCCC"/>
              <w:bottom w:val="single" w:sz="8" w:color="CCCCCC"/>
            </w:tcBorders>
          </w:tcPr>
          <w:p>
            <w:pPr>
              <w:spacing w:after="0"/>
              <w:rPr>
                <w:sz w:val="13"/>
                <w:szCs w:val="13"/>
                <w:color w:val="auto"/>
              </w:rPr>
            </w:pPr>
          </w:p>
        </w:tc>
        <w:tc>
          <w:tcPr>
            <w:tcW w:w="180" w:type="dxa"/>
            <w:vAlign w:val="bottom"/>
            <w:tcBorders>
              <w:top w:val="single" w:sz="8" w:color="CCCCCC"/>
              <w:bottom w:val="single" w:sz="8" w:color="CCCCCC"/>
            </w:tcBorders>
          </w:tcPr>
          <w:p>
            <w:pPr>
              <w:spacing w:after="0"/>
              <w:rPr>
                <w:sz w:val="13"/>
                <w:szCs w:val="13"/>
                <w:color w:val="auto"/>
              </w:rPr>
            </w:pPr>
          </w:p>
        </w:tc>
        <w:tc>
          <w:tcPr>
            <w:tcW w:w="120" w:type="dxa"/>
            <w:vAlign w:val="bottom"/>
            <w:tcBorders>
              <w:top w:val="single" w:sz="8" w:color="CCCCCC"/>
              <w:bottom w:val="single" w:sz="8" w:color="CCCCCC"/>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80" w:type="dxa"/>
            <w:vAlign w:val="bottom"/>
            <w:tcBorders>
              <w:top w:val="single" w:sz="8" w:color="CCCCCC"/>
              <w:bottom w:val="single" w:sz="8" w:color="CCCCCC"/>
              <w:right w:val="single" w:sz="8" w:color="auto"/>
            </w:tcBorders>
          </w:tcPr>
          <w:p>
            <w:pPr>
              <w:spacing w:after="0"/>
              <w:rPr>
                <w:sz w:val="13"/>
                <w:szCs w:val="13"/>
                <w:color w:val="auto"/>
              </w:rPr>
            </w:pPr>
          </w:p>
        </w:tc>
        <w:tc>
          <w:tcPr>
            <w:tcW w:w="180" w:type="dxa"/>
            <w:vAlign w:val="bottom"/>
            <w:tcBorders>
              <w:top w:val="single" w:sz="8" w:color="CCCCCC"/>
              <w:bottom w:val="single" w:sz="8" w:color="CCCCCC"/>
              <w:right w:val="single" w:sz="8" w:color="auto"/>
            </w:tcBorders>
          </w:tcPr>
          <w:p>
            <w:pPr>
              <w:spacing w:after="0"/>
              <w:rPr>
                <w:sz w:val="13"/>
                <w:szCs w:val="13"/>
                <w:color w:val="auto"/>
              </w:rPr>
            </w:pPr>
          </w:p>
        </w:tc>
        <w:tc>
          <w:tcPr>
            <w:tcW w:w="200" w:type="dxa"/>
            <w:vAlign w:val="bottom"/>
            <w:tcBorders>
              <w:top w:val="single" w:sz="8" w:color="CCCCCC"/>
              <w:bottom w:val="single" w:sz="8" w:color="CCCCCC"/>
              <w:right w:val="single" w:sz="8" w:color="auto"/>
            </w:tcBorders>
          </w:tcPr>
          <w:p>
            <w:pPr>
              <w:spacing w:after="0"/>
              <w:rPr>
                <w:sz w:val="13"/>
                <w:szCs w:val="13"/>
                <w:color w:val="auto"/>
              </w:rPr>
            </w:pPr>
          </w:p>
        </w:tc>
        <w:tc>
          <w:tcPr>
            <w:tcW w:w="80" w:type="dxa"/>
            <w:vAlign w:val="bottom"/>
            <w:tcBorders>
              <w:top w:val="single" w:sz="8" w:color="CCCCCC"/>
              <w:bottom w:val="single" w:sz="8" w:color="CCCCCC"/>
            </w:tcBorders>
          </w:tcPr>
          <w:p>
            <w:pPr>
              <w:spacing w:after="0"/>
              <w:rPr>
                <w:sz w:val="13"/>
                <w:szCs w:val="13"/>
                <w:color w:val="auto"/>
              </w:rPr>
            </w:pPr>
          </w:p>
        </w:tc>
        <w:tc>
          <w:tcPr>
            <w:tcW w:w="220" w:type="dxa"/>
            <w:vAlign w:val="bottom"/>
            <w:tcBorders>
              <w:top w:val="single" w:sz="8" w:color="CCCCCC"/>
              <w:bottom w:val="single" w:sz="8" w:color="CCCCCC"/>
            </w:tcBorders>
          </w:tcPr>
          <w:p>
            <w:pPr>
              <w:spacing w:after="0"/>
              <w:rPr>
                <w:sz w:val="13"/>
                <w:szCs w:val="13"/>
                <w:color w:val="auto"/>
              </w:rPr>
            </w:pPr>
          </w:p>
        </w:tc>
        <w:tc>
          <w:tcPr>
            <w:tcW w:w="200" w:type="dxa"/>
            <w:vAlign w:val="bottom"/>
            <w:tcBorders>
              <w:top w:val="single" w:sz="8" w:color="CCCCCC"/>
              <w:bottom w:val="single" w:sz="8" w:color="CCCCCC"/>
            </w:tcBorders>
          </w:tcPr>
          <w:p>
            <w:pPr>
              <w:spacing w:after="0"/>
              <w:rPr>
                <w:sz w:val="13"/>
                <w:szCs w:val="13"/>
                <w:color w:val="auto"/>
              </w:rPr>
            </w:pPr>
          </w:p>
        </w:tc>
        <w:tc>
          <w:tcPr>
            <w:tcW w:w="0" w:type="dxa"/>
            <w:vAlign w:val="bottom"/>
          </w:tcPr>
          <w:p>
            <w:pPr>
              <w:spacing w:after="0"/>
              <w:rPr>
                <w:sz w:val="1"/>
                <w:szCs w:val="1"/>
                <w:color w:val="auto"/>
              </w:rPr>
            </w:pPr>
          </w:p>
        </w:tc>
      </w:tr>
      <w:tr>
        <w:trPr>
          <w:trHeight w:val="139"/>
        </w:trPr>
        <w:tc>
          <w:tcPr>
            <w:tcW w:w="340" w:type="dxa"/>
            <w:vAlign w:val="bottom"/>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rPr>
              <w:t xml:space="preserve">0</w:t>
            </w:r>
          </w:p>
        </w:tc>
        <w:tc>
          <w:tcPr>
            <w:tcW w:w="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180" w:type="dxa"/>
            <w:vAlign w:val="bottom"/>
            <w:tcBorders>
              <w:bottom w:val="single" w:sz="8" w:color="auto"/>
              <w:right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1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180" w:type="dxa"/>
            <w:vAlign w:val="bottom"/>
            <w:tcBorders>
              <w:top w:val="single" w:sz="8" w:color="auto"/>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100" w:type="dxa"/>
            <w:vAlign w:val="bottom"/>
            <w:tcBorders>
              <w:bottom w:val="single" w:sz="8" w:color="auto"/>
              <w:right w:val="single" w:sz="8" w:color="auto"/>
            </w:tcBorders>
          </w:tcPr>
          <w:p>
            <w:pPr>
              <w:spacing w:after="0"/>
              <w:rPr>
                <w:sz w:val="12"/>
                <w:szCs w:val="12"/>
                <w:color w:val="auto"/>
              </w:rPr>
            </w:pPr>
          </w:p>
        </w:tc>
        <w:tc>
          <w:tcPr>
            <w:tcW w:w="100" w:type="dxa"/>
            <w:vAlign w:val="bottom"/>
            <w:tcBorders>
              <w:bottom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200" w:type="dxa"/>
            <w:vAlign w:val="bottom"/>
            <w:tcBorders>
              <w:bottom w:val="single" w:sz="8" w:color="auto"/>
            </w:tcBorders>
          </w:tcPr>
          <w:p>
            <w:pPr>
              <w:spacing w:after="0"/>
              <w:rPr>
                <w:sz w:val="12"/>
                <w:szCs w:val="12"/>
                <w:color w:val="auto"/>
              </w:rPr>
            </w:pPr>
          </w:p>
        </w:tc>
        <w:tc>
          <w:tcPr>
            <w:tcW w:w="200" w:type="dxa"/>
            <w:vAlign w:val="bottom"/>
            <w:tcBorders>
              <w:bottom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1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20" w:type="dxa"/>
            <w:vAlign w:val="bottom"/>
            <w:tcBorders>
              <w:top w:val="single" w:sz="8" w:color="auto"/>
              <w:bottom w:val="single" w:sz="8" w:color="auto"/>
            </w:tcBorders>
          </w:tcPr>
          <w:p>
            <w:pPr>
              <w:spacing w:after="0"/>
              <w:rPr>
                <w:sz w:val="12"/>
                <w:szCs w:val="12"/>
                <w:color w:val="auto"/>
              </w:rPr>
            </w:pPr>
          </w:p>
        </w:tc>
        <w:tc>
          <w:tcPr>
            <w:tcW w:w="180" w:type="dxa"/>
            <w:vAlign w:val="bottom"/>
            <w:tcBorders>
              <w:top w:val="single" w:sz="8" w:color="auto"/>
              <w:bottom w:val="single" w:sz="8" w:color="auto"/>
              <w:right w:val="single" w:sz="8" w:color="auto"/>
            </w:tcBorders>
          </w:tcPr>
          <w:p>
            <w:pPr>
              <w:spacing w:after="0"/>
              <w:rPr>
                <w:sz w:val="12"/>
                <w:szCs w:val="12"/>
                <w:color w:val="auto"/>
              </w:rPr>
            </w:pPr>
          </w:p>
        </w:tc>
        <w:tc>
          <w:tcPr>
            <w:tcW w:w="120" w:type="dxa"/>
            <w:vAlign w:val="bottom"/>
            <w:tcBorders>
              <w:top w:val="single" w:sz="8" w:color="auto"/>
              <w:bottom w:val="single" w:sz="8" w:color="auto"/>
            </w:tcBorders>
          </w:tcPr>
          <w:p>
            <w:pPr>
              <w:spacing w:after="0"/>
              <w:rPr>
                <w:sz w:val="12"/>
                <w:szCs w:val="12"/>
                <w:color w:val="auto"/>
              </w:rPr>
            </w:pPr>
          </w:p>
        </w:tc>
        <w:tc>
          <w:tcPr>
            <w:tcW w:w="80" w:type="dxa"/>
            <w:vAlign w:val="bottom"/>
            <w:tcBorders>
              <w:top w:val="single" w:sz="8" w:color="auto"/>
              <w:bottom w:val="single" w:sz="8" w:color="auto"/>
              <w:right w:val="single" w:sz="8" w:color="auto"/>
            </w:tcBorders>
          </w:tcPr>
          <w:p>
            <w:pPr>
              <w:spacing w:after="0"/>
              <w:rPr>
                <w:sz w:val="12"/>
                <w:szCs w:val="12"/>
                <w:color w:val="auto"/>
              </w:rPr>
            </w:pPr>
          </w:p>
        </w:tc>
        <w:tc>
          <w:tcPr>
            <w:tcW w:w="80" w:type="dxa"/>
            <w:vAlign w:val="bottom"/>
            <w:tcBorders>
              <w:bottom w:val="single" w:sz="8" w:color="auto"/>
              <w:right w:val="single" w:sz="8" w:color="auto"/>
            </w:tcBorders>
          </w:tcPr>
          <w:p>
            <w:pPr>
              <w:spacing w:after="0"/>
              <w:rPr>
                <w:sz w:val="12"/>
                <w:szCs w:val="12"/>
                <w:color w:val="auto"/>
              </w:rPr>
            </w:pPr>
          </w:p>
        </w:tc>
        <w:tc>
          <w:tcPr>
            <w:tcW w:w="180" w:type="dxa"/>
            <w:vAlign w:val="bottom"/>
            <w:tcBorders>
              <w:bottom w:val="single" w:sz="8" w:color="auto"/>
              <w:right w:val="single" w:sz="8" w:color="auto"/>
            </w:tcBorders>
          </w:tcPr>
          <w:p>
            <w:pPr>
              <w:spacing w:after="0"/>
              <w:rPr>
                <w:sz w:val="12"/>
                <w:szCs w:val="12"/>
                <w:color w:val="auto"/>
              </w:rPr>
            </w:pPr>
          </w:p>
        </w:tc>
        <w:tc>
          <w:tcPr>
            <w:tcW w:w="200" w:type="dxa"/>
            <w:vAlign w:val="bottom"/>
            <w:tcBorders>
              <w:bottom w:val="single" w:sz="8" w:color="auto"/>
              <w:right w:val="single" w:sz="8" w:color="auto"/>
            </w:tcBorders>
          </w:tcPr>
          <w:p>
            <w:pPr>
              <w:spacing w:after="0"/>
              <w:rPr>
                <w:sz w:val="12"/>
                <w:szCs w:val="12"/>
                <w:color w:val="auto"/>
              </w:rPr>
            </w:pPr>
          </w:p>
        </w:tc>
        <w:tc>
          <w:tcPr>
            <w:tcW w:w="80" w:type="dxa"/>
            <w:vAlign w:val="bottom"/>
            <w:tcBorders>
              <w:bottom w:val="single" w:sz="8" w:color="auto"/>
            </w:tcBorders>
          </w:tcPr>
          <w:p>
            <w:pPr>
              <w:spacing w:after="0"/>
              <w:rPr>
                <w:sz w:val="12"/>
                <w:szCs w:val="12"/>
                <w:color w:val="auto"/>
              </w:rPr>
            </w:pPr>
          </w:p>
        </w:tc>
        <w:tc>
          <w:tcPr>
            <w:tcW w:w="220" w:type="dxa"/>
            <w:vAlign w:val="bottom"/>
            <w:tcBorders>
              <w:bottom w:val="single" w:sz="8" w:color="auto"/>
            </w:tcBorders>
          </w:tcPr>
          <w:p>
            <w:pPr>
              <w:spacing w:after="0"/>
              <w:rPr>
                <w:sz w:val="12"/>
                <w:szCs w:val="12"/>
                <w:color w:val="auto"/>
              </w:rPr>
            </w:pPr>
          </w:p>
        </w:tc>
        <w:tc>
          <w:tcPr>
            <w:tcW w:w="200" w:type="dxa"/>
            <w:vAlign w:val="bottom"/>
            <w:tcBorders>
              <w:bottom w:val="single" w:sz="8" w:color="auto"/>
            </w:tcBorders>
          </w:tcPr>
          <w:p>
            <w:pPr>
              <w:spacing w:after="0"/>
              <w:rPr>
                <w:sz w:val="12"/>
                <w:szCs w:val="12"/>
                <w:color w:val="auto"/>
              </w:rPr>
            </w:pPr>
          </w:p>
        </w:tc>
        <w:tc>
          <w:tcPr>
            <w:tcW w:w="0" w:type="dxa"/>
            <w:vAlign w:val="bottom"/>
          </w:tcPr>
          <w:p>
            <w:pPr>
              <w:spacing w:after="0"/>
              <w:rPr>
                <w:sz w:val="1"/>
                <w:szCs w:val="1"/>
                <w:color w:val="auto"/>
              </w:rPr>
            </w:pPr>
          </w:p>
        </w:tc>
      </w:tr>
      <w:tr>
        <w:trPr>
          <w:trHeight w:val="87"/>
        </w:trPr>
        <w:tc>
          <w:tcPr>
            <w:tcW w:w="340" w:type="dxa"/>
            <w:vAlign w:val="bottom"/>
            <w:vMerge w:val="restart"/>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w w:val="82"/>
              </w:rPr>
              <w:t xml:space="preserve">-10</w:t>
            </w:r>
          </w:p>
        </w:tc>
        <w:tc>
          <w:tcPr>
            <w:tcW w:w="80" w:type="dxa"/>
            <w:vAlign w:val="bottom"/>
            <w:tcBorders>
              <w:right w:val="single" w:sz="8" w:color="auto"/>
            </w:tcBorders>
            <w:vMerge w:val="restart"/>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100" w:type="dxa"/>
            <w:vAlign w:val="bottom"/>
            <w:tcBorders>
              <w:bottom w:val="single" w:sz="8" w:color="CCCCCC"/>
            </w:tcBorders>
          </w:tcPr>
          <w:p>
            <w:pPr>
              <w:spacing w:after="0"/>
              <w:rPr>
                <w:sz w:val="7"/>
                <w:szCs w:val="7"/>
                <w:color w:val="auto"/>
              </w:rPr>
            </w:pPr>
          </w:p>
        </w:tc>
        <w:tc>
          <w:tcPr>
            <w:tcW w:w="1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100" w:type="dxa"/>
            <w:vAlign w:val="bottom"/>
            <w:tcBorders>
              <w:bottom w:val="single" w:sz="8" w:color="CCCCCC"/>
            </w:tcBorders>
          </w:tcPr>
          <w:p>
            <w:pPr>
              <w:spacing w:after="0"/>
              <w:rPr>
                <w:sz w:val="7"/>
                <w:szCs w:val="7"/>
                <w:color w:val="auto"/>
              </w:rPr>
            </w:pPr>
          </w:p>
        </w:tc>
        <w:tc>
          <w:tcPr>
            <w:tcW w:w="1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right w:val="single" w:sz="8" w:color="auto"/>
            </w:tcBorders>
          </w:tcPr>
          <w:p>
            <w:pPr>
              <w:spacing w:after="0"/>
              <w:rPr>
                <w:sz w:val="7"/>
                <w:szCs w:val="7"/>
                <w:color w:val="auto"/>
              </w:rPr>
            </w:pPr>
          </w:p>
        </w:tc>
        <w:tc>
          <w:tcPr>
            <w:tcW w:w="200" w:type="dxa"/>
            <w:vAlign w:val="bottom"/>
            <w:tcBorders>
              <w:bottom w:val="single" w:sz="8" w:color="CCCCCC"/>
              <w:right w:val="single" w:sz="8" w:color="auto"/>
            </w:tcBorders>
          </w:tcPr>
          <w:p>
            <w:pPr>
              <w:spacing w:after="0"/>
              <w:rPr>
                <w:sz w:val="7"/>
                <w:szCs w:val="7"/>
                <w:color w:val="auto"/>
              </w:rPr>
            </w:pPr>
          </w:p>
        </w:tc>
        <w:tc>
          <w:tcPr>
            <w:tcW w:w="200" w:type="dxa"/>
            <w:vAlign w:val="bottom"/>
            <w:tcBorders>
              <w:bottom w:val="single" w:sz="8" w:color="CCCCCC"/>
              <w:right w:val="single" w:sz="8" w:color="auto"/>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2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12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80" w:type="dxa"/>
            <w:vAlign w:val="bottom"/>
            <w:tcBorders>
              <w:bottom w:val="single" w:sz="8" w:color="CCCCCC"/>
            </w:tcBorders>
          </w:tcPr>
          <w:p>
            <w:pPr>
              <w:spacing w:after="0"/>
              <w:rPr>
                <w:sz w:val="7"/>
                <w:szCs w:val="7"/>
                <w:color w:val="auto"/>
              </w:rPr>
            </w:pPr>
          </w:p>
        </w:tc>
        <w:tc>
          <w:tcPr>
            <w:tcW w:w="180" w:type="dxa"/>
            <w:vAlign w:val="bottom"/>
            <w:tcBorders>
              <w:bottom w:val="single" w:sz="8" w:color="CCCCCC"/>
            </w:tcBorders>
          </w:tcPr>
          <w:p>
            <w:pPr>
              <w:spacing w:after="0"/>
              <w:rPr>
                <w:sz w:val="7"/>
                <w:szCs w:val="7"/>
                <w:color w:val="auto"/>
              </w:rPr>
            </w:pPr>
          </w:p>
        </w:tc>
        <w:tc>
          <w:tcPr>
            <w:tcW w:w="200" w:type="dxa"/>
            <w:vAlign w:val="bottom"/>
            <w:tcBorders>
              <w:bottom w:val="single" w:sz="8" w:color="CCCCCC"/>
            </w:tcBorders>
          </w:tcPr>
          <w:p>
            <w:pPr>
              <w:spacing w:after="0"/>
              <w:rPr>
                <w:sz w:val="7"/>
                <w:szCs w:val="7"/>
                <w:color w:val="auto"/>
              </w:rPr>
            </w:pPr>
          </w:p>
        </w:tc>
        <w:tc>
          <w:tcPr>
            <w:tcW w:w="80" w:type="dxa"/>
            <w:vAlign w:val="bottom"/>
            <w:tcBorders>
              <w:bottom w:val="single" w:sz="8" w:color="CCCCCC"/>
              <w:right w:val="single" w:sz="8" w:color="auto"/>
            </w:tcBorders>
          </w:tcPr>
          <w:p>
            <w:pPr>
              <w:spacing w:after="0"/>
              <w:rPr>
                <w:sz w:val="7"/>
                <w:szCs w:val="7"/>
                <w:color w:val="auto"/>
              </w:rPr>
            </w:pPr>
          </w:p>
        </w:tc>
        <w:tc>
          <w:tcPr>
            <w:tcW w:w="220" w:type="dxa"/>
            <w:vAlign w:val="bottom"/>
            <w:tcBorders>
              <w:bottom w:val="single" w:sz="8" w:color="CCCCCC"/>
              <w:right w:val="single" w:sz="8" w:color="auto"/>
            </w:tcBorders>
          </w:tcPr>
          <w:p>
            <w:pPr>
              <w:spacing w:after="0"/>
              <w:rPr>
                <w:sz w:val="7"/>
                <w:szCs w:val="7"/>
                <w:color w:val="auto"/>
              </w:rPr>
            </w:pPr>
          </w:p>
        </w:tc>
        <w:tc>
          <w:tcPr>
            <w:tcW w:w="200" w:type="dxa"/>
            <w:vAlign w:val="bottom"/>
            <w:tcBorders>
              <w:bottom w:val="single" w:sz="8" w:color="CCCCCC"/>
              <w:right w:val="single" w:sz="8" w:color="auto"/>
            </w:tcBorders>
          </w:tcPr>
          <w:p>
            <w:pPr>
              <w:spacing w:after="0"/>
              <w:rPr>
                <w:sz w:val="7"/>
                <w:szCs w:val="7"/>
                <w:color w:val="auto"/>
              </w:rPr>
            </w:pPr>
          </w:p>
        </w:tc>
        <w:tc>
          <w:tcPr>
            <w:tcW w:w="0" w:type="dxa"/>
            <w:vAlign w:val="bottom"/>
          </w:tcPr>
          <w:p>
            <w:pPr>
              <w:spacing w:after="0"/>
              <w:rPr>
                <w:sz w:val="1"/>
                <w:szCs w:val="1"/>
                <w:color w:val="auto"/>
              </w:rPr>
            </w:pPr>
          </w:p>
        </w:tc>
      </w:tr>
      <w:tr>
        <w:trPr>
          <w:trHeight w:val="20"/>
        </w:trPr>
        <w:tc>
          <w:tcPr>
            <w:tcW w:w="340" w:type="dxa"/>
            <w:vAlign w:val="bottom"/>
            <w:vMerge w:val="continue"/>
          </w:tcPr>
          <w:p>
            <w:pPr>
              <w:spacing w:after="0" w:line="20" w:lineRule="exact"/>
              <w:rPr>
                <w:sz w:val="1"/>
                <w:szCs w:val="1"/>
                <w:color w:val="auto"/>
              </w:rPr>
            </w:pPr>
          </w:p>
        </w:tc>
        <w:tc>
          <w:tcPr>
            <w:tcW w:w="80" w:type="dxa"/>
            <w:vAlign w:val="bottom"/>
            <w:tcBorders>
              <w:right w:val="single" w:sz="8" w:color="auto"/>
            </w:tcBorders>
            <w:vMerge w:val="continue"/>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right w:val="single" w:sz="8" w:color="auto"/>
            </w:tcBorders>
          </w:tcPr>
          <w:p>
            <w:pPr>
              <w:spacing w:after="0" w:line="20" w:lineRule="exact"/>
              <w:rPr>
                <w:sz w:val="1"/>
                <w:szCs w:val="1"/>
                <w:color w:val="auto"/>
              </w:rPr>
            </w:pPr>
          </w:p>
        </w:tc>
        <w:tc>
          <w:tcPr>
            <w:tcW w:w="200" w:type="dxa"/>
            <w:vAlign w:val="bottom"/>
            <w:tcBorders>
              <w:bottom w:val="single" w:sz="8" w:color="auto"/>
              <w:right w:val="single" w:sz="8" w:color="auto"/>
            </w:tcBorders>
          </w:tcPr>
          <w:p>
            <w:pPr>
              <w:spacing w:after="0" w:line="20" w:lineRule="exact"/>
              <w:rPr>
                <w:sz w:val="1"/>
                <w:szCs w:val="1"/>
                <w:color w:val="auto"/>
              </w:rPr>
            </w:pPr>
          </w:p>
        </w:tc>
        <w:tc>
          <w:tcPr>
            <w:tcW w:w="20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00" w:type="dxa"/>
            <w:vAlign w:val="bottom"/>
          </w:tcPr>
          <w:p>
            <w:pPr>
              <w:spacing w:after="0" w:line="20" w:lineRule="exact"/>
              <w:rPr>
                <w:sz w:val="1"/>
                <w:szCs w:val="1"/>
                <w:color w:val="auto"/>
              </w:rPr>
            </w:pPr>
          </w:p>
        </w:tc>
        <w:tc>
          <w:tcPr>
            <w:tcW w:w="80" w:type="dxa"/>
            <w:vAlign w:val="bottom"/>
            <w:tcBorders>
              <w:right w:val="single" w:sz="8" w:color="auto"/>
            </w:tcBorders>
          </w:tcPr>
          <w:p>
            <w:pPr>
              <w:spacing w:after="0" w:line="20" w:lineRule="exact"/>
              <w:rPr>
                <w:sz w:val="1"/>
                <w:szCs w:val="1"/>
                <w:color w:val="auto"/>
              </w:rPr>
            </w:pPr>
          </w:p>
        </w:tc>
        <w:tc>
          <w:tcPr>
            <w:tcW w:w="220" w:type="dxa"/>
            <w:vAlign w:val="bottom"/>
            <w:tcBorders>
              <w:right w:val="single" w:sz="8" w:color="auto"/>
            </w:tcBorders>
          </w:tcPr>
          <w:p>
            <w:pPr>
              <w:spacing w:after="0" w:line="20" w:lineRule="exact"/>
              <w:rPr>
                <w:sz w:val="1"/>
                <w:szCs w:val="1"/>
                <w:color w:val="auto"/>
              </w:rPr>
            </w:pPr>
          </w:p>
        </w:tc>
        <w:tc>
          <w:tcPr>
            <w:tcW w:w="200" w:type="dxa"/>
            <w:vAlign w:val="bottom"/>
            <w:tcBorders>
              <w:right w:val="single" w:sz="8" w:color="auto"/>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64"/>
        </w:trPr>
        <w:tc>
          <w:tcPr>
            <w:tcW w:w="340" w:type="dxa"/>
            <w:vAlign w:val="bottom"/>
            <w:vMerge w:val="restart"/>
          </w:tcPr>
          <w:p>
            <w:pPr xmlns:w="http://schemas.openxmlformats.org/wordprocessingml/2006/main">
              <w:jc w:val="right"/>
              <w:ind w:right="153"/>
              <w:spacing w:after="0"/>
              <w:rPr>
                <w:sz w:val="20"/>
                <w:szCs w:val="20"/>
                <w:color w:val="auto"/>
              </w:rPr>
            </w:pPr>
            <w:r>
              <w:rPr xmlns:w="http://schemas.openxmlformats.org/wordprocessingml/2006/main">
                <w:rFonts w:ascii="Arial" w:cs="Arial" w:eastAsia="Arial" w:hAnsi="Arial"/>
                <w:sz w:val="10"/>
                <w:szCs w:val="10"/>
                <w:color w:val="auto"/>
                <w:w w:val="82"/>
              </w:rPr>
              <w:t xml:space="preserve">-20</w:t>
            </w:r>
          </w:p>
        </w:tc>
        <w:tc>
          <w:tcPr>
            <w:tcW w:w="80" w:type="dxa"/>
            <w:vAlign w:val="bottom"/>
            <w:tcBorders>
              <w:right w:val="single" w:sz="8" w:color="auto"/>
            </w:tcBorders>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100" w:type="dxa"/>
            <w:vAlign w:val="bottom"/>
          </w:tcPr>
          <w:p>
            <w:pPr>
              <w:spacing w:after="0"/>
              <w:rPr>
                <w:sz w:val="5"/>
                <w:szCs w:val="5"/>
                <w:color w:val="auto"/>
              </w:rPr>
            </w:pPr>
          </w:p>
        </w:tc>
        <w:tc>
          <w:tcPr>
            <w:tcW w:w="1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0" w:type="dxa"/>
            <w:vAlign w:val="bottom"/>
            <w:vMerge w:val="restart"/>
            <w:textDirection w:val="btLr"/>
          </w:tcPr>
          <w:p>
            <w:pPr xmlns:w="http://schemas.openxmlformats.org/wordprocessingml/2006/main">
              <w:ind w:right="34"/>
              <w:spacing w:after="0"/>
              <w:rPr>
                <w:sz w:val="20"/>
                <w:szCs w:val="20"/>
                <w:color w:val="auto"/>
              </w:rPr>
            </w:pPr>
            <w:r>
              <w:rPr xmlns:w="http://schemas.openxmlformats.org/wordprocessingml/2006/main">
                <w:rFonts w:ascii="Arial" w:cs="Arial" w:eastAsia="Arial" w:hAnsi="Arial"/>
                <w:sz w:val="4"/>
                <w:szCs w:val="4"/>
                <w:color w:val="auto"/>
                <w:w w:val="78"/>
              </w:rPr>
              <w:t xml:space="preserve">-12,8%</w:t>
            </w:r>
          </w:p>
        </w:tc>
        <w:tc>
          <w:tcPr>
            <w:tcW w:w="200" w:type="dxa"/>
            <w:vAlign w:val="bottom"/>
            <w:vMerge w:val="restart"/>
            <w:textDirection w:val="btLr"/>
          </w:tcPr>
          <w:p>
            <w:pPr xmlns:w="http://schemas.openxmlformats.org/wordprocessingml/2006/main">
              <w:ind w:right="40"/>
              <w:spacing w:after="0"/>
              <w:rPr>
                <w:sz w:val="20"/>
                <w:szCs w:val="20"/>
                <w:color w:val="auto"/>
              </w:rPr>
            </w:pPr>
            <w:r>
              <w:rPr xmlns:w="http://schemas.openxmlformats.org/wordprocessingml/2006/main">
                <w:rFonts w:ascii="Arial" w:cs="Arial" w:eastAsia="Arial" w:hAnsi="Arial"/>
                <w:sz w:val="4"/>
                <w:szCs w:val="4"/>
                <w:color w:val="auto"/>
                <w:w w:val="78"/>
              </w:rPr>
              <w:t xml:space="preserve">-12,0%</w:t>
            </w: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Pr>
          <w:p>
            <w:pPr>
              <w:spacing w:after="0"/>
              <w:rPr>
                <w:sz w:val="5"/>
                <w:szCs w:val="5"/>
                <w:color w:val="auto"/>
              </w:rPr>
            </w:pPr>
          </w:p>
        </w:tc>
        <w:tc>
          <w:tcPr>
            <w:tcW w:w="20" w:type="dxa"/>
            <w:vAlign w:val="bottom"/>
          </w:tcPr>
          <w:p>
            <w:pPr>
              <w:spacing w:after="0"/>
              <w:rPr>
                <w:sz w:val="5"/>
                <w:szCs w:val="5"/>
                <w:color w:val="auto"/>
              </w:rPr>
            </w:pPr>
          </w:p>
        </w:tc>
        <w:tc>
          <w:tcPr>
            <w:tcW w:w="180" w:type="dxa"/>
            <w:vAlign w:val="bottom"/>
          </w:tcPr>
          <w:p>
            <w:pPr>
              <w:spacing w:after="0"/>
              <w:rPr>
                <w:sz w:val="5"/>
                <w:szCs w:val="5"/>
                <w:color w:val="auto"/>
              </w:rPr>
            </w:pPr>
          </w:p>
        </w:tc>
        <w:tc>
          <w:tcPr>
            <w:tcW w:w="120" w:type="dxa"/>
            <w:vAlign w:val="bottom"/>
          </w:tcPr>
          <w:p>
            <w:pPr>
              <w:spacing w:after="0"/>
              <w:rPr>
                <w:sz w:val="5"/>
                <w:szCs w:val="5"/>
                <w:color w:val="auto"/>
              </w:rPr>
            </w:pPr>
          </w:p>
        </w:tc>
        <w:tc>
          <w:tcPr>
            <w:tcW w:w="80" w:type="dxa"/>
            <w:vAlign w:val="bottom"/>
          </w:tcPr>
          <w:p>
            <w:pPr>
              <w:spacing w:after="0"/>
              <w:rPr>
                <w:sz w:val="5"/>
                <w:szCs w:val="5"/>
                <w:color w:val="auto"/>
              </w:rPr>
            </w:pPr>
          </w:p>
        </w:tc>
        <w:tc>
          <w:tcPr>
            <w:tcW w:w="80" w:type="dxa"/>
            <w:vAlign w:val="bottom"/>
          </w:tcPr>
          <w:p>
            <w:pPr>
              <w:spacing w:after="0"/>
              <w:rPr>
                <w:sz w:val="5"/>
                <w:szCs w:val="5"/>
                <w:color w:val="auto"/>
              </w:rPr>
            </w:pPr>
          </w:p>
        </w:tc>
        <w:tc>
          <w:tcPr>
            <w:tcW w:w="1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0" w:type="dxa"/>
            <w:vAlign w:val="bottom"/>
            <w:tcBorders>
              <w:right w:val="single" w:sz="8" w:color="auto"/>
            </w:tcBorders>
          </w:tcPr>
          <w:p>
            <w:pPr>
              <w:spacing w:after="0"/>
              <w:rPr>
                <w:sz w:val="5"/>
                <w:szCs w:val="5"/>
                <w:color w:val="auto"/>
              </w:rPr>
            </w:pPr>
          </w:p>
        </w:tc>
        <w:tc>
          <w:tcPr>
            <w:tcW w:w="220" w:type="dxa"/>
            <w:vAlign w:val="bottom"/>
            <w:tcBorders>
              <w:right w:val="single" w:sz="8" w:color="auto"/>
            </w:tcBorders>
          </w:tcPr>
          <w:p>
            <w:pPr>
              <w:spacing w:after="0"/>
              <w:rPr>
                <w:sz w:val="5"/>
                <w:szCs w:val="5"/>
                <w:color w:val="auto"/>
              </w:rPr>
            </w:pPr>
          </w:p>
        </w:tc>
        <w:tc>
          <w:tcPr>
            <w:tcW w:w="200" w:type="dxa"/>
            <w:vAlign w:val="bottom"/>
            <w:tcBorders>
              <w:bottom w:val="single" w:sz="8" w:color="auto"/>
              <w:right w:val="single" w:sz="8" w:color="auto"/>
            </w:tcBorders>
          </w:tcPr>
          <w:p>
            <w:pPr>
              <w:spacing w:after="0"/>
              <w:rPr>
                <w:sz w:val="5"/>
                <w:szCs w:val="5"/>
                <w:color w:val="auto"/>
              </w:rPr>
            </w:pPr>
          </w:p>
        </w:tc>
        <w:tc>
          <w:tcPr>
            <w:tcW w:w="0" w:type="dxa"/>
            <w:vAlign w:val="bottom"/>
          </w:tcPr>
          <w:p>
            <w:pPr>
              <w:spacing w:after="0"/>
              <w:rPr>
                <w:sz w:val="1"/>
                <w:szCs w:val="1"/>
                <w:color w:val="auto"/>
              </w:rPr>
            </w:pPr>
          </w:p>
        </w:tc>
      </w:tr>
      <w:tr>
        <w:trPr>
          <w:trHeight w:val="16"/>
        </w:trPr>
        <w:tc>
          <w:tcPr>
            <w:tcW w:w="340" w:type="dxa"/>
            <w:vAlign w:val="bottom"/>
            <w:vMerge w:val="continue"/>
          </w:tcPr>
          <w:p>
            <w:pPr>
              <w:spacing w:after="0" w:line="20" w:lineRule="exact"/>
              <w:rPr>
                <w:sz w:val="1"/>
                <w:szCs w:val="1"/>
                <w:color w:val="auto"/>
              </w:rPr>
            </w:pPr>
          </w:p>
        </w:tc>
        <w:tc>
          <w:tcPr>
            <w:tcW w:w="80" w:type="dxa"/>
            <w:vAlign w:val="bottom"/>
            <w:tcBorders>
              <w:right w:val="single" w:sz="8" w:color="auto"/>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100" w:type="dxa"/>
            <w:vAlign w:val="bottom"/>
            <w:tcBorders>
              <w:bottom w:val="single" w:sz="8" w:color="CCCCCC"/>
            </w:tcBorders>
          </w:tcPr>
          <w:p>
            <w:pPr>
              <w:spacing w:after="0" w:line="20" w:lineRule="exact"/>
              <w:rPr>
                <w:sz w:val="1"/>
                <w:szCs w:val="1"/>
                <w:color w:val="auto"/>
              </w:rPr>
            </w:pPr>
          </w:p>
        </w:tc>
        <w:tc>
          <w:tcPr>
            <w:tcW w:w="1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100" w:type="dxa"/>
            <w:vAlign w:val="bottom"/>
            <w:tcBorders>
              <w:bottom w:val="single" w:sz="8" w:color="CCCCCC"/>
            </w:tcBorders>
          </w:tcPr>
          <w:p>
            <w:pPr>
              <w:spacing w:after="0" w:line="20" w:lineRule="exact"/>
              <w:rPr>
                <w:sz w:val="1"/>
                <w:szCs w:val="1"/>
                <w:color w:val="auto"/>
              </w:rPr>
            </w:pPr>
          </w:p>
        </w:tc>
        <w:tc>
          <w:tcPr>
            <w:tcW w:w="1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vMerge w:val="continue"/>
          </w:tcPr>
          <w:p>
            <w:pPr>
              <w:spacing w:after="0" w:line="20" w:lineRule="exact"/>
              <w:rPr>
                <w:sz w:val="1"/>
                <w:szCs w:val="1"/>
                <w:color w:val="auto"/>
              </w:rPr>
            </w:pPr>
          </w:p>
        </w:tc>
        <w:tc>
          <w:tcPr>
            <w:tcW w:w="200" w:type="dxa"/>
            <w:vAlign w:val="bottom"/>
            <w:tcBorders>
              <w:bottom w:val="single" w:sz="8" w:color="CCCCCC"/>
            </w:tcBorders>
            <w:vMerge w:val="continue"/>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12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180" w:type="dxa"/>
            <w:vAlign w:val="bottom"/>
            <w:tcBorders>
              <w:bottom w:val="single" w:sz="8" w:color="CCCCCC"/>
            </w:tcBorders>
          </w:tcPr>
          <w:p>
            <w:pPr>
              <w:spacing w:after="0" w:line="20" w:lineRule="exact"/>
              <w:rPr>
                <w:sz w:val="1"/>
                <w:szCs w:val="1"/>
                <w:color w:val="auto"/>
              </w:rPr>
            </w:pPr>
          </w:p>
        </w:tc>
        <w:tc>
          <w:tcPr>
            <w:tcW w:w="200" w:type="dxa"/>
            <w:vAlign w:val="bottom"/>
            <w:tcBorders>
              <w:bottom w:val="single" w:sz="8" w:color="CCCCCC"/>
            </w:tcBorders>
          </w:tcPr>
          <w:p>
            <w:pPr>
              <w:spacing w:after="0" w:line="20" w:lineRule="exact"/>
              <w:rPr>
                <w:sz w:val="1"/>
                <w:szCs w:val="1"/>
                <w:color w:val="auto"/>
              </w:rPr>
            </w:pPr>
          </w:p>
        </w:tc>
        <w:tc>
          <w:tcPr>
            <w:tcW w:w="80" w:type="dxa"/>
            <w:vAlign w:val="bottom"/>
            <w:tcBorders>
              <w:bottom w:val="single" w:sz="8" w:color="CCCCCC"/>
            </w:tcBorders>
          </w:tcPr>
          <w:p>
            <w:pPr>
              <w:spacing w:after="0" w:line="20" w:lineRule="exact"/>
              <w:rPr>
                <w:sz w:val="1"/>
                <w:szCs w:val="1"/>
                <w:color w:val="auto"/>
              </w:rPr>
            </w:pPr>
          </w:p>
        </w:tc>
        <w:tc>
          <w:tcPr>
            <w:tcW w:w="220" w:type="dxa"/>
            <w:vAlign w:val="bottom"/>
            <w:tcBorders>
              <w:top w:val="single" w:sz="8" w:color="auto"/>
              <w:bottom w:val="single" w:sz="8" w:color="CCCCCC"/>
            </w:tcBorders>
            <w:textDirection w:val="btLr"/>
          </w:tcPr>
          <w:p>
            <w:pPr xmlns:w="http://schemas.openxmlformats.org/wordprocessingml/2006/main">
              <w:ind w:right="57"/>
              <w:spacing w:after="0"/>
              <w:rPr>
                <w:sz w:val="20"/>
                <w:szCs w:val="20"/>
                <w:color w:val="auto"/>
              </w:rPr>
            </w:pPr>
            <w:r>
              <w:rPr xmlns:w="http://schemas.openxmlformats.org/wordprocessingml/2006/main">
                <w:rFonts w:ascii="Arial" w:cs="Arial" w:eastAsia="Arial" w:hAnsi="Arial"/>
                <w:sz w:val="1"/>
                <w:szCs w:val="1"/>
                <w:color w:val="auto"/>
                <w:w w:val="61"/>
              </w:rPr>
              <w:t xml:space="preserve">-17,0%</w:t>
            </w:r>
          </w:p>
        </w:tc>
        <w:tc>
          <w:tcPr>
            <w:tcW w:w="200" w:type="dxa"/>
            <w:vAlign w:val="bottom"/>
            <w:tcBorders>
              <w:bottom w:val="single" w:sz="8" w:color="CCCCCC"/>
            </w:tcBorders>
            <w:textDirection w:val="btLr"/>
          </w:tcPr>
          <w:p>
            <w:pPr xmlns:w="http://schemas.openxmlformats.org/wordprocessingml/2006/main">
              <w:ind w:right="51"/>
              <w:spacing w:after="0"/>
              <w:rPr>
                <w:sz w:val="20"/>
                <w:szCs w:val="20"/>
                <w:color w:val="auto"/>
              </w:rPr>
            </w:pPr>
            <w:r>
              <w:rPr xmlns:w="http://schemas.openxmlformats.org/wordprocessingml/2006/main">
                <w:rFonts w:ascii="Arial" w:cs="Arial" w:eastAsia="Arial" w:hAnsi="Arial"/>
                <w:sz w:val="1"/>
                <w:szCs w:val="1"/>
                <w:color w:val="auto"/>
                <w:w w:val="61"/>
              </w:rPr>
              <w:t xml:space="preserve">-16,5%</w:t>
            </w:r>
          </w:p>
        </w:tc>
        <w:tc>
          <w:tcPr>
            <w:tcW w:w="0" w:type="dxa"/>
            <w:vAlign w:val="bottom"/>
          </w:tcPr>
          <w:p>
            <w:pPr>
              <w:spacing w:after="0" w:line="20" w:lineRule="exact"/>
              <w:rPr>
                <w:sz w:val="1"/>
                <w:szCs w:val="1"/>
                <w:color w:val="auto"/>
              </w:rPr>
            </w:pPr>
          </w:p>
        </w:tc>
      </w:tr>
      <w:tr>
        <w:trPr>
          <w:trHeight w:val="52"/>
        </w:trPr>
        <w:tc>
          <w:tcPr>
            <w:tcW w:w="340" w:type="dxa"/>
            <w:vAlign w:val="bottom"/>
            <w:vMerge w:val="continue"/>
          </w:tcPr>
          <w:p>
            <w:pPr>
              <w:spacing w:after="0"/>
              <w:rPr>
                <w:sz w:val="4"/>
                <w:szCs w:val="4"/>
                <w:color w:val="auto"/>
              </w:rPr>
            </w:pPr>
          </w:p>
        </w:tc>
        <w:tc>
          <w:tcPr>
            <w:tcW w:w="80" w:type="dxa"/>
            <w:vAlign w:val="bottom"/>
            <w:tcBorders>
              <w:right w:val="single" w:sz="8" w:color="auto"/>
            </w:tcBorders>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100" w:type="dxa"/>
            <w:vAlign w:val="bottom"/>
          </w:tcPr>
          <w:p>
            <w:pPr>
              <w:spacing w:after="0"/>
              <w:rPr>
                <w:sz w:val="4"/>
                <w:szCs w:val="4"/>
                <w:color w:val="auto"/>
              </w:rPr>
            </w:pPr>
          </w:p>
        </w:tc>
        <w:tc>
          <w:tcPr>
            <w:tcW w:w="1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200" w:type="dxa"/>
            <w:vAlign w:val="bottom"/>
          </w:tcPr>
          <w:p>
            <w:pPr>
              <w:spacing w:after="0"/>
              <w:rPr>
                <w:sz w:val="4"/>
                <w:szCs w:val="4"/>
                <w:color w:val="auto"/>
              </w:rPr>
            </w:pPr>
          </w:p>
        </w:tc>
        <w:tc>
          <w:tcPr>
            <w:tcW w:w="100" w:type="dxa"/>
            <w:vAlign w:val="bottom"/>
          </w:tcPr>
          <w:p>
            <w:pPr>
              <w:spacing w:after="0"/>
              <w:rPr>
                <w:sz w:val="4"/>
                <w:szCs w:val="4"/>
                <w:color w:val="auto"/>
              </w:rPr>
            </w:pPr>
          </w:p>
        </w:tc>
        <w:tc>
          <w:tcPr>
            <w:tcW w:w="1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20" w:type="dxa"/>
            <w:vAlign w:val="bottom"/>
          </w:tcPr>
          <w:p>
            <w:pPr>
              <w:spacing w:after="0"/>
              <w:rPr>
                <w:sz w:val="4"/>
                <w:szCs w:val="4"/>
                <w:color w:val="auto"/>
              </w:rPr>
            </w:pPr>
          </w:p>
        </w:tc>
        <w:tc>
          <w:tcPr>
            <w:tcW w:w="180" w:type="dxa"/>
            <w:vAlign w:val="bottom"/>
          </w:tcPr>
          <w:p>
            <w:pPr>
              <w:spacing w:after="0"/>
              <w:rPr>
                <w:sz w:val="4"/>
                <w:szCs w:val="4"/>
                <w:color w:val="auto"/>
              </w:rPr>
            </w:pPr>
          </w:p>
        </w:tc>
        <w:tc>
          <w:tcPr>
            <w:tcW w:w="120" w:type="dxa"/>
            <w:vAlign w:val="bottom"/>
          </w:tcPr>
          <w:p>
            <w:pPr>
              <w:spacing w:after="0"/>
              <w:rPr>
                <w:sz w:val="4"/>
                <w:szCs w:val="4"/>
                <w:color w:val="auto"/>
              </w:rPr>
            </w:pPr>
          </w:p>
        </w:tc>
        <w:tc>
          <w:tcPr>
            <w:tcW w:w="8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220" w:type="dxa"/>
            <w:vAlign w:val="bottom"/>
          </w:tcPr>
          <w:p>
            <w:pPr>
              <w:spacing w:after="0"/>
              <w:rPr>
                <w:sz w:val="4"/>
                <w:szCs w:val="4"/>
                <w:color w:val="auto"/>
              </w:rPr>
            </w:pPr>
          </w:p>
        </w:tc>
        <w:tc>
          <w:tcPr>
            <w:tcW w:w="2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08"/>
        </w:trPr>
        <w:tc>
          <w:tcPr>
            <w:tcW w:w="340" w:type="dxa"/>
            <w:vAlign w:val="bottom"/>
          </w:tcPr>
          <w:p>
            <w:pPr>
              <w:spacing w:after="0"/>
              <w:rPr>
                <w:sz w:val="24"/>
                <w:szCs w:val="24"/>
                <w:color w:val="auto"/>
              </w:rPr>
            </w:pPr>
          </w:p>
        </w:tc>
        <w:tc>
          <w:tcPr>
            <w:tcW w:w="80" w:type="dxa"/>
            <w:vAlign w:val="bottom"/>
            <w:tcBorders>
              <w:right w:val="single" w:sz="8" w:color="auto"/>
            </w:tcBorders>
          </w:tcPr>
          <w:p>
            <w:pPr>
              <w:spacing w:after="0"/>
              <w:rPr>
                <w:sz w:val="24"/>
                <w:szCs w:val="24"/>
                <w:color w:val="auto"/>
              </w:rPr>
            </w:pPr>
          </w:p>
        </w:tc>
        <w:tc>
          <w:tcPr>
            <w:tcW w:w="400" w:type="dxa"/>
            <w:vAlign w:val="bottom"/>
            <w:tcBorders>
              <w:bottom w:val="single" w:sz="8" w:color="auto"/>
            </w:tcBorders>
            <w:gridSpan w:val="2"/>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80" w:type="dxa"/>
            <w:vAlign w:val="bottom"/>
            <w:tcBorders>
              <w:bottom w:val="single" w:sz="8" w:color="auto"/>
            </w:tcBorders>
            <w:gridSpan w:val="2"/>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gridSpan w:val="2"/>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gridSpan w:val="2"/>
          </w:tcPr>
          <w:p>
            <w:pPr>
              <w:spacing w:after="0"/>
              <w:rPr>
                <w:sz w:val="24"/>
                <w:szCs w:val="24"/>
                <w:color w:val="auto"/>
              </w:rPr>
            </w:pPr>
          </w:p>
        </w:tc>
        <w:tc>
          <w:tcPr>
            <w:tcW w:w="10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gridSpan w:val="3"/>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gridSpan w:val="2"/>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380" w:type="dxa"/>
            <w:vAlign w:val="bottom"/>
            <w:tcBorders>
              <w:bottom w:val="single" w:sz="8" w:color="auto"/>
            </w:tcBorders>
            <w:gridSpan w:val="2"/>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20" w:type="dxa"/>
            <w:vAlign w:val="bottom"/>
            <w:tcBorders>
              <w:bottom w:val="single" w:sz="8" w:color="auto"/>
            </w:tcBorders>
          </w:tcPr>
          <w:p>
            <w:pPr>
              <w:spacing w:after="0"/>
              <w:rPr>
                <w:sz w:val="24"/>
                <w:szCs w:val="24"/>
                <w:color w:val="auto"/>
              </w:rPr>
            </w:pPr>
          </w:p>
        </w:tc>
        <w:tc>
          <w:tcPr>
            <w:tcW w:w="300" w:type="dxa"/>
            <w:vAlign w:val="bottom"/>
            <w:tcBorders>
              <w:bottom w:val="single" w:sz="8" w:color="auto"/>
            </w:tcBorders>
            <w:gridSpan w:val="2"/>
          </w:tcPr>
          <w:p>
            <w:pPr>
              <w:spacing w:after="0"/>
              <w:rPr>
                <w:sz w:val="24"/>
                <w:szCs w:val="24"/>
                <w:color w:val="auto"/>
              </w:rPr>
            </w:pPr>
          </w:p>
        </w:tc>
        <w:tc>
          <w:tcPr>
            <w:tcW w:w="540" w:type="dxa"/>
            <w:vAlign w:val="bottom"/>
            <w:tcBorders>
              <w:bottom w:val="single" w:sz="8" w:color="auto"/>
            </w:tcBorders>
            <w:gridSpan w:val="4"/>
          </w:tcPr>
          <w:p>
            <w:pPr>
              <w:spacing w:after="0"/>
              <w:rPr>
                <w:sz w:val="24"/>
                <w:szCs w:val="24"/>
                <w:color w:val="auto"/>
              </w:rPr>
            </w:pPr>
          </w:p>
        </w:tc>
        <w:tc>
          <w:tcPr>
            <w:tcW w:w="80" w:type="dxa"/>
            <w:vAlign w:val="bottom"/>
            <w:tcBorders>
              <w:bottom w:val="single" w:sz="8" w:color="auto"/>
            </w:tcBorders>
          </w:tcPr>
          <w:p>
            <w:pPr>
              <w:spacing w:after="0"/>
              <w:rPr>
                <w:sz w:val="24"/>
                <w:szCs w:val="24"/>
                <w:color w:val="auto"/>
              </w:rPr>
            </w:pPr>
          </w:p>
        </w:tc>
        <w:tc>
          <w:tcPr>
            <w:tcW w:w="400" w:type="dxa"/>
            <w:vAlign w:val="bottom"/>
            <w:tcBorders>
              <w:bottom w:val="single" w:sz="8" w:color="auto"/>
            </w:tcBorders>
            <w:gridSpan w:val="2"/>
          </w:tcPr>
          <w:p>
            <w:pPr>
              <w:spacing w:after="0"/>
              <w:rPr>
                <w:sz w:val="24"/>
                <w:szCs w:val="24"/>
                <w:color w:val="auto"/>
              </w:rPr>
            </w:pPr>
          </w:p>
        </w:tc>
        <w:tc>
          <w:tcPr>
            <w:tcW w:w="0" w:type="dxa"/>
            <w:vAlign w:val="bottom"/>
          </w:tcPr>
          <w:p>
            <w:pPr>
              <w:spacing w:after="0"/>
              <w:rPr>
                <w:sz w:val="1"/>
                <w:szCs w:val="1"/>
                <w:color w:val="auto"/>
              </w:rPr>
            </w:pPr>
          </w:p>
        </w:tc>
      </w:tr>
      <w:tr>
        <w:trPr>
          <w:trHeight w:val="233"/>
        </w:trPr>
        <w:tc>
          <w:tcPr>
            <w:tcW w:w="3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400" w:type="dxa"/>
            <w:vAlign w:val="bottom"/>
            <w:gridSpan w:val="2"/>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2013</w:t>
            </w:r>
          </w:p>
        </w:tc>
        <w:tc>
          <w:tcPr>
            <w:tcW w:w="80" w:type="dxa"/>
            <w:vAlign w:val="bottom"/>
          </w:tcPr>
          <w:p>
            <w:pPr>
              <w:spacing w:after="0"/>
              <w:rPr>
                <w:sz w:val="20"/>
                <w:szCs w:val="20"/>
                <w:color w:val="auto"/>
              </w:rPr>
            </w:pPr>
          </w:p>
        </w:tc>
        <w:tc>
          <w:tcPr>
            <w:tcW w:w="380" w:type="dxa"/>
            <w:vAlign w:val="bottom"/>
            <w:gridSpan w:val="3"/>
          </w:tcPr>
          <w:p>
            <w:pPr xmlns:w="http://schemas.openxmlformats.org/wordprocessingml/2006/main">
              <w:jc w:val="right"/>
              <w:ind w:right="80"/>
              <w:spacing w:after="0"/>
              <w:rPr>
                <w:sz w:val="20"/>
                <w:szCs w:val="20"/>
                <w:color w:val="auto"/>
              </w:rPr>
            </w:pPr>
            <w:r>
              <w:rPr xmlns:w="http://schemas.openxmlformats.org/wordprocessingml/2006/main">
                <w:rFonts w:ascii="Arial" w:cs="Arial" w:eastAsia="Arial" w:hAnsi="Arial"/>
                <w:sz w:val="10"/>
                <w:szCs w:val="10"/>
                <w:color w:val="auto"/>
              </w:rPr>
              <w:t xml:space="preserve">2014</w:t>
            </w:r>
          </w:p>
        </w:tc>
        <w:tc>
          <w:tcPr>
            <w:tcW w:w="80" w:type="dxa"/>
            <w:vAlign w:val="bottom"/>
          </w:tcPr>
          <w:p>
            <w:pPr>
              <w:spacing w:after="0"/>
              <w:rPr>
                <w:sz w:val="20"/>
                <w:szCs w:val="20"/>
                <w:color w:val="auto"/>
              </w:rPr>
            </w:pPr>
          </w:p>
        </w:tc>
        <w:tc>
          <w:tcPr>
            <w:tcW w:w="400" w:type="dxa"/>
            <w:vAlign w:val="bottom"/>
            <w:gridSpan w:val="2"/>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2015</w:t>
            </w:r>
          </w:p>
        </w:tc>
        <w:tc>
          <w:tcPr>
            <w:tcW w:w="80" w:type="dxa"/>
            <w:vAlign w:val="bottom"/>
          </w:tcPr>
          <w:p>
            <w:pPr>
              <w:spacing w:after="0"/>
              <w:rPr>
                <w:sz w:val="20"/>
                <w:szCs w:val="20"/>
                <w:color w:val="auto"/>
              </w:rPr>
            </w:pPr>
          </w:p>
        </w:tc>
        <w:tc>
          <w:tcPr>
            <w:tcW w:w="380" w:type="dxa"/>
            <w:vAlign w:val="bottom"/>
            <w:gridSpan w:val="2"/>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2016</w:t>
            </w:r>
          </w:p>
        </w:tc>
        <w:tc>
          <w:tcPr>
            <w:tcW w:w="100" w:type="dxa"/>
            <w:vAlign w:val="bottom"/>
          </w:tcPr>
          <w:p>
            <w:pPr>
              <w:spacing w:after="0"/>
              <w:rPr>
                <w:sz w:val="20"/>
                <w:szCs w:val="20"/>
                <w:color w:val="auto"/>
              </w:rPr>
            </w:pPr>
          </w:p>
        </w:tc>
        <w:tc>
          <w:tcPr>
            <w:tcW w:w="380" w:type="dxa"/>
            <w:vAlign w:val="bottom"/>
            <w:gridSpan w:val="3"/>
          </w:tcPr>
          <w:p>
            <w:pPr xmlns:w="http://schemas.openxmlformats.org/wordprocessingml/2006/main">
              <w:jc w:val="right"/>
              <w:ind w:right="80"/>
              <w:spacing w:after="0"/>
              <w:rPr>
                <w:sz w:val="20"/>
                <w:szCs w:val="20"/>
                <w:color w:val="auto"/>
              </w:rPr>
            </w:pPr>
            <w:r>
              <w:rPr xmlns:w="http://schemas.openxmlformats.org/wordprocessingml/2006/main">
                <w:rFonts w:ascii="Arial" w:cs="Arial" w:eastAsia="Arial" w:hAnsi="Arial"/>
                <w:sz w:val="10"/>
                <w:szCs w:val="10"/>
                <w:color w:val="auto"/>
              </w:rPr>
              <w:t xml:space="preserve">2017</w:t>
            </w:r>
          </w:p>
        </w:tc>
        <w:tc>
          <w:tcPr>
            <w:tcW w:w="80" w:type="dxa"/>
            <w:vAlign w:val="bottom"/>
          </w:tcPr>
          <w:p>
            <w:pPr>
              <w:spacing w:after="0"/>
              <w:rPr>
                <w:sz w:val="20"/>
                <w:szCs w:val="20"/>
                <w:color w:val="auto"/>
              </w:rPr>
            </w:pPr>
          </w:p>
        </w:tc>
        <w:tc>
          <w:tcPr>
            <w:tcW w:w="400" w:type="dxa"/>
            <w:vAlign w:val="bottom"/>
            <w:gridSpan w:val="2"/>
          </w:tcPr>
          <w:p>
            <w:pPr xmlns:w="http://schemas.openxmlformats.org/wordprocessingml/2006/main">
              <w:jc w:val="right"/>
              <w:ind w:right="80"/>
              <w:spacing w:after="0"/>
              <w:rPr>
                <w:sz w:val="20"/>
                <w:szCs w:val="20"/>
                <w:color w:val="auto"/>
              </w:rPr>
            </w:pPr>
            <w:r>
              <w:rPr xmlns:w="http://schemas.openxmlformats.org/wordprocessingml/2006/main">
                <w:rFonts w:ascii="Arial" w:cs="Arial" w:eastAsia="Arial" w:hAnsi="Arial"/>
                <w:sz w:val="10"/>
                <w:szCs w:val="10"/>
                <w:color w:val="auto"/>
              </w:rPr>
              <w:t xml:space="preserve">2018</w:t>
            </w:r>
          </w:p>
        </w:tc>
        <w:tc>
          <w:tcPr>
            <w:tcW w:w="80" w:type="dxa"/>
            <w:vAlign w:val="bottom"/>
          </w:tcPr>
          <w:p>
            <w:pPr>
              <w:spacing w:after="0"/>
              <w:rPr>
                <w:sz w:val="20"/>
                <w:szCs w:val="20"/>
                <w:color w:val="auto"/>
              </w:rPr>
            </w:pPr>
          </w:p>
        </w:tc>
        <w:tc>
          <w:tcPr>
            <w:tcW w:w="380" w:type="dxa"/>
            <w:vAlign w:val="bottom"/>
            <w:gridSpan w:val="2"/>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2019</w:t>
            </w: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30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0"/>
                <w:szCs w:val="10"/>
                <w:color w:val="auto"/>
              </w:rPr>
              <w:t xml:space="preserve">2020</w:t>
            </w:r>
          </w:p>
        </w:tc>
        <w:tc>
          <w:tcPr>
            <w:tcW w:w="540" w:type="dxa"/>
            <w:vAlign w:val="bottom"/>
            <w:gridSpan w:val="4"/>
          </w:tcPr>
          <w:p>
            <w:pPr xmlns:w="http://schemas.openxmlformats.org/wordprocessingml/2006/main">
              <w:jc w:val="right"/>
              <w:ind w:right="30"/>
              <w:spacing w:after="0"/>
              <w:rPr>
                <w:sz w:val="20"/>
                <w:szCs w:val="20"/>
                <w:color w:val="auto"/>
              </w:rPr>
            </w:pPr>
            <w:r>
              <w:rPr xmlns:w="http://schemas.openxmlformats.org/wordprocessingml/2006/main">
                <w:rFonts w:ascii="Arial" w:cs="Arial" w:eastAsia="Arial" w:hAnsi="Arial"/>
                <w:sz w:val="10"/>
                <w:szCs w:val="10"/>
                <w:color w:val="auto"/>
              </w:rPr>
              <w:t xml:space="preserve">2021</w:t>
            </w:r>
          </w:p>
        </w:tc>
        <w:tc>
          <w:tcPr>
            <w:tcW w:w="80" w:type="dxa"/>
            <w:vAlign w:val="bottom"/>
          </w:tcPr>
          <w:p>
            <w:pPr>
              <w:spacing w:after="0"/>
              <w:rPr>
                <w:sz w:val="20"/>
                <w:szCs w:val="20"/>
                <w:color w:val="auto"/>
              </w:rPr>
            </w:pPr>
          </w:p>
        </w:tc>
        <w:tc>
          <w:tcPr>
            <w:tcW w:w="400" w:type="dxa"/>
            <w:vAlign w:val="bottom"/>
            <w:gridSpan w:val="2"/>
          </w:tcPr>
          <w:p>
            <w:pPr xmlns:w="http://schemas.openxmlformats.org/wordprocessingml/2006/main">
              <w:jc w:val="right"/>
              <w:ind w:right="75"/>
              <w:spacing w:after="0"/>
              <w:rPr>
                <w:sz w:val="20"/>
                <w:szCs w:val="20"/>
                <w:color w:val="auto"/>
              </w:rPr>
            </w:pPr>
            <w:r>
              <w:rPr xmlns:w="http://schemas.openxmlformats.org/wordprocessingml/2006/main">
                <w:rFonts w:ascii="Arial" w:cs="Arial" w:eastAsia="Arial" w:hAnsi="Arial"/>
                <w:sz w:val="10"/>
                <w:szCs w:val="10"/>
                <w:color w:val="auto"/>
              </w:rPr>
              <w:t xml:space="preserve">2022</w:t>
            </w:r>
          </w:p>
        </w:tc>
        <w:tc>
          <w:tcPr>
            <w:tcW w:w="0" w:type="dxa"/>
            <w:vAlign w:val="bottom"/>
          </w:tcPr>
          <w:p>
            <w:pPr>
              <w:spacing w:after="0"/>
              <w:rPr>
                <w:sz w:val="1"/>
                <w:szCs w:val="1"/>
                <w:color w:val="auto"/>
              </w:rPr>
            </w:pPr>
          </w:p>
        </w:tc>
      </w:tr>
      <w:tr>
        <w:trPr>
          <w:trHeight w:val="70"/>
        </w:trPr>
        <w:tc>
          <w:tcPr>
            <w:tcW w:w="340" w:type="dxa"/>
            <w:vAlign w:val="bottom"/>
          </w:tcPr>
          <w:p>
            <w:pPr>
              <w:spacing w:after="0"/>
              <w:rPr>
                <w:sz w:val="6"/>
                <w:szCs w:val="6"/>
                <w:color w:val="auto"/>
              </w:rPr>
            </w:pPr>
          </w:p>
        </w:tc>
        <w:tc>
          <w:tcPr>
            <w:tcW w:w="80" w:type="dxa"/>
            <w:vAlign w:val="bottom"/>
          </w:tcPr>
          <w:p>
            <w:pPr>
              <w:spacing w:after="0"/>
              <w:rPr>
                <w:sz w:val="6"/>
                <w:szCs w:val="6"/>
                <w:color w:val="auto"/>
              </w:rPr>
            </w:pPr>
          </w:p>
        </w:tc>
        <w:tc>
          <w:tcPr>
            <w:tcW w:w="200" w:type="dxa"/>
            <w:vAlign w:val="bottom"/>
          </w:tcPr>
          <w:p>
            <w:pPr>
              <w:spacing w:after="0"/>
              <w:rPr>
                <w:sz w:val="6"/>
                <w:szCs w:val="6"/>
                <w:color w:val="auto"/>
              </w:rPr>
            </w:pPr>
          </w:p>
        </w:tc>
        <w:tc>
          <w:tcPr>
            <w:tcW w:w="200" w:type="dxa"/>
            <w:vAlign w:val="bottom"/>
          </w:tcPr>
          <w:p>
            <w:pPr>
              <w:spacing w:after="0"/>
              <w:rPr>
                <w:sz w:val="6"/>
                <w:szCs w:val="6"/>
                <w:color w:val="auto"/>
              </w:rPr>
            </w:pPr>
          </w:p>
        </w:tc>
        <w:tc>
          <w:tcPr>
            <w:tcW w:w="80" w:type="dxa"/>
            <w:vAlign w:val="bottom"/>
          </w:tcPr>
          <w:p>
            <w:pPr>
              <w:spacing w:after="0"/>
              <w:rPr>
                <w:sz w:val="6"/>
                <w:szCs w:val="6"/>
                <w:color w:val="auto"/>
              </w:rPr>
            </w:pPr>
          </w:p>
        </w:tc>
        <w:tc>
          <w:tcPr>
            <w:tcW w:w="180" w:type="dxa"/>
            <w:vAlign w:val="bottom"/>
          </w:tcPr>
          <w:p>
            <w:pPr>
              <w:spacing w:after="0"/>
              <w:rPr>
                <w:sz w:val="6"/>
                <w:szCs w:val="6"/>
                <w:color w:val="auto"/>
              </w:rPr>
            </w:pPr>
          </w:p>
        </w:tc>
        <w:tc>
          <w:tcPr>
            <w:tcW w:w="100" w:type="dxa"/>
            <w:vAlign w:val="bottom"/>
          </w:tcPr>
          <w:p>
            <w:pPr>
              <w:spacing w:after="0"/>
              <w:rPr>
                <w:sz w:val="6"/>
                <w:szCs w:val="6"/>
                <w:color w:val="auto"/>
              </w:rPr>
            </w:pPr>
          </w:p>
        </w:tc>
        <w:tc>
          <w:tcPr>
            <w:tcW w:w="100" w:type="dxa"/>
            <w:vAlign w:val="bottom"/>
            <w:tcBorders>
              <w:bottom w:val="single" w:sz="8" w:color="D6D1D1"/>
            </w:tcBorders>
          </w:tcPr>
          <w:p>
            <w:pPr>
              <w:spacing w:after="0"/>
              <w:rPr>
                <w:sz w:val="6"/>
                <w:szCs w:val="6"/>
                <w:color w:val="auto"/>
              </w:rPr>
            </w:pPr>
          </w:p>
        </w:tc>
        <w:tc>
          <w:tcPr>
            <w:tcW w:w="80" w:type="dxa"/>
            <w:vAlign w:val="bottom"/>
            <w:tcBorders>
              <w:bottom w:val="single" w:sz="8" w:color="D6D1D1"/>
            </w:tcBorders>
          </w:tcPr>
          <w:p>
            <w:pPr>
              <w:spacing w:after="0"/>
              <w:rPr>
                <w:sz w:val="6"/>
                <w:szCs w:val="6"/>
                <w:color w:val="auto"/>
              </w:rPr>
            </w:pPr>
          </w:p>
        </w:tc>
        <w:tc>
          <w:tcPr>
            <w:tcW w:w="2380" w:type="dxa"/>
            <w:vAlign w:val="bottom"/>
            <w:tcBorders>
              <w:bottom w:val="single" w:sz="8" w:color="D6D1D1"/>
            </w:tcBorders>
            <w:gridSpan w:val="17"/>
          </w:tcPr>
          <w:p>
            <w:pPr>
              <w:spacing w:after="0"/>
              <w:rPr>
                <w:sz w:val="6"/>
                <w:szCs w:val="6"/>
                <w:color w:val="auto"/>
              </w:rPr>
            </w:pPr>
          </w:p>
        </w:tc>
        <w:tc>
          <w:tcPr>
            <w:tcW w:w="180" w:type="dxa"/>
            <w:vAlign w:val="bottom"/>
            <w:tcBorders>
              <w:bottom w:val="single" w:sz="8" w:color="D6D1D1"/>
            </w:tcBorders>
          </w:tcPr>
          <w:p>
            <w:pPr>
              <w:spacing w:after="0"/>
              <w:rPr>
                <w:sz w:val="6"/>
                <w:szCs w:val="6"/>
                <w:color w:val="auto"/>
              </w:rPr>
            </w:pPr>
          </w:p>
        </w:tc>
        <w:tc>
          <w:tcPr>
            <w:tcW w:w="120" w:type="dxa"/>
            <w:vAlign w:val="bottom"/>
            <w:tcBorders>
              <w:bottom w:val="single" w:sz="8" w:color="D6D1D1"/>
            </w:tcBorders>
          </w:tcPr>
          <w:p>
            <w:pPr>
              <w:spacing w:after="0"/>
              <w:rPr>
                <w:sz w:val="6"/>
                <w:szCs w:val="6"/>
                <w:color w:val="auto"/>
              </w:rPr>
            </w:pPr>
          </w:p>
        </w:tc>
        <w:tc>
          <w:tcPr>
            <w:tcW w:w="840" w:type="dxa"/>
            <w:vAlign w:val="bottom"/>
            <w:tcBorders>
              <w:bottom w:val="single" w:sz="8" w:color="D6D1D1"/>
            </w:tcBorders>
            <w:gridSpan w:val="6"/>
          </w:tcPr>
          <w:p>
            <w:pPr>
              <w:spacing w:after="0"/>
              <w:rPr>
                <w:sz w:val="6"/>
                <w:szCs w:val="6"/>
                <w:color w:val="auto"/>
              </w:rPr>
            </w:pPr>
          </w:p>
        </w:tc>
        <w:tc>
          <w:tcPr>
            <w:tcW w:w="200" w:type="dxa"/>
            <w:vAlign w:val="bottom"/>
            <w:tcBorders>
              <w:bottom w:val="single" w:sz="8" w:color="D6D1D1"/>
            </w:tcBorders>
          </w:tcPr>
          <w:p>
            <w:pPr>
              <w:spacing w:after="0"/>
              <w:rPr>
                <w:sz w:val="6"/>
                <w:szCs w:val="6"/>
                <w:color w:val="auto"/>
              </w:rPr>
            </w:pPr>
          </w:p>
        </w:tc>
        <w:tc>
          <w:tcPr>
            <w:tcW w:w="0" w:type="dxa"/>
            <w:vAlign w:val="bottom"/>
          </w:tcPr>
          <w:p>
            <w:pPr>
              <w:spacing w:after="0"/>
              <w:rPr>
                <w:sz w:val="1"/>
                <w:szCs w:val="1"/>
                <w:color w:val="auto"/>
              </w:rPr>
            </w:pPr>
          </w:p>
        </w:tc>
      </w:tr>
      <w:tr>
        <w:trPr>
          <w:trHeight w:val="173"/>
        </w:trPr>
        <w:tc>
          <w:tcPr>
            <w:tcW w:w="34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180" w:type="dxa"/>
            <w:vAlign w:val="bottom"/>
          </w:tcPr>
          <w:p>
            <w:pPr>
              <w:spacing w:after="0"/>
              <w:rPr>
                <w:sz w:val="15"/>
                <w:szCs w:val="15"/>
                <w:color w:val="auto"/>
              </w:rPr>
            </w:pPr>
          </w:p>
        </w:tc>
        <w:tc>
          <w:tcPr>
            <w:tcW w:w="100" w:type="dxa"/>
            <w:vAlign w:val="bottom"/>
            <w:tcBorders>
              <w:right w:val="single" w:sz="8" w:color="D6D1D1"/>
            </w:tcBorders>
          </w:tcPr>
          <w:p>
            <w:pPr>
              <w:spacing w:after="0"/>
              <w:rPr>
                <w:sz w:val="15"/>
                <w:szCs w:val="15"/>
                <w:color w:val="auto"/>
              </w:rPr>
            </w:pPr>
          </w:p>
        </w:tc>
        <w:tc>
          <w:tcPr>
            <w:tcW w:w="10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2380" w:type="dxa"/>
            <w:vAlign w:val="bottom"/>
            <w:gridSpan w:val="17"/>
          </w:tcPr>
          <w:p>
            <w:pPr xmlns:w="http://schemas.openxmlformats.org/wordprocessingml/2006/main">
              <w:spacing w:after="0"/>
              <w:rPr>
                <w:sz w:val="20"/>
                <w:szCs w:val="20"/>
                <w:color w:val="auto"/>
              </w:rPr>
            </w:pPr>
            <w:r>
              <w:rPr xmlns:w="http://schemas.openxmlformats.org/wordprocessingml/2006/main">
                <w:rFonts w:ascii="Arial" w:cs="Arial" w:eastAsia="Arial" w:hAnsi="Arial"/>
                <w:sz w:val="10"/>
                <w:szCs w:val="10"/>
                <w:color w:val="auto"/>
              </w:rPr>
              <w:t xml:space="preserve">Amundi MSCI Water ESG Screening ΟΣΕΚΑ Διανομή ETF</w:t>
            </w:r>
          </w:p>
        </w:tc>
        <w:tc>
          <w:tcPr>
            <w:tcW w:w="180" w:type="dxa"/>
            <w:vAlign w:val="bottom"/>
          </w:tcPr>
          <w:p>
            <w:pPr>
              <w:spacing w:after="0"/>
              <w:rPr>
                <w:sz w:val="15"/>
                <w:szCs w:val="15"/>
                <w:color w:val="auto"/>
              </w:rPr>
            </w:pPr>
          </w:p>
        </w:tc>
        <w:tc>
          <w:tcPr>
            <w:tcW w:w="120" w:type="dxa"/>
            <w:vAlign w:val="bottom"/>
          </w:tcPr>
          <w:p>
            <w:pPr>
              <w:spacing w:after="0"/>
              <w:rPr>
                <w:sz w:val="15"/>
                <w:szCs w:val="15"/>
                <w:color w:val="auto"/>
              </w:rPr>
            </w:pPr>
          </w:p>
        </w:tc>
        <w:tc>
          <w:tcPr>
            <w:tcW w:w="840" w:type="dxa"/>
            <w:vAlign w:val="bottom"/>
            <w:gridSpan w:val="6"/>
          </w:tcPr>
          <w:p>
            <w:pPr xmlns:w="http://schemas.openxmlformats.org/wordprocessingml/2006/main">
              <w:jc w:val="right"/>
              <w:ind w:right="13"/>
              <w:spacing w:after="0"/>
              <w:rPr>
                <w:sz w:val="20"/>
                <w:szCs w:val="20"/>
                <w:color w:val="auto"/>
              </w:rPr>
            </w:pPr>
            <w:r>
              <w:rPr xmlns:w="http://schemas.openxmlformats.org/wordprocessingml/2006/main">
                <w:rFonts w:ascii="Arial" w:cs="Arial" w:eastAsia="Arial" w:hAnsi="Arial"/>
                <w:sz w:val="10"/>
                <w:szCs w:val="10"/>
                <w:color w:val="auto"/>
              </w:rPr>
              <w:t xml:space="preserve">Δείκτης αναφοράς</w:t>
            </w:r>
          </w:p>
        </w:tc>
        <w:tc>
          <w:tcPr>
            <w:tcW w:w="200" w:type="dxa"/>
            <w:vAlign w:val="bottom"/>
            <w:tcBorders>
              <w:right w:val="single" w:sz="8" w:color="D6D1D1"/>
            </w:tcBorders>
          </w:tcPr>
          <w:p>
            <w:pPr>
              <w:spacing w:after="0"/>
              <w:rPr>
                <w:sz w:val="15"/>
                <w:szCs w:val="15"/>
                <w:color w:val="auto"/>
              </w:rPr>
            </w:pPr>
          </w:p>
        </w:tc>
        <w:tc>
          <w:tcPr>
            <w:tcW w:w="0" w:type="dxa"/>
            <w:vAlign w:val="bottom"/>
          </w:tcPr>
          <w:p>
            <w:pPr>
              <w:spacing w:after="0"/>
              <w:rPr>
                <w:sz w:val="1"/>
                <w:szCs w:val="1"/>
                <w:color w:val="auto"/>
              </w:rPr>
            </w:pPr>
          </w:p>
        </w:tc>
      </w:tr>
      <w:tr>
        <w:trPr>
          <w:trHeight w:val="48"/>
        </w:trPr>
        <w:tc>
          <w:tcPr>
            <w:tcW w:w="340" w:type="dxa"/>
            <w:vAlign w:val="bottom"/>
          </w:tcPr>
          <w:p>
            <w:pPr>
              <w:spacing w:after="0"/>
              <w:rPr>
                <w:sz w:val="4"/>
                <w:szCs w:val="4"/>
                <w:color w:val="auto"/>
              </w:rPr>
            </w:pPr>
          </w:p>
        </w:tc>
        <w:tc>
          <w:tcPr>
            <w:tcW w:w="80" w:type="dxa"/>
            <w:vAlign w:val="bottom"/>
          </w:tcPr>
          <w:p>
            <w:pPr>
              <w:spacing w:after="0"/>
              <w:rPr>
                <w:sz w:val="4"/>
                <w:szCs w:val="4"/>
                <w:color w:val="auto"/>
              </w:rPr>
            </w:pPr>
          </w:p>
        </w:tc>
        <w:tc>
          <w:tcPr>
            <w:tcW w:w="200" w:type="dxa"/>
            <w:vAlign w:val="bottom"/>
          </w:tcPr>
          <w:p>
            <w:pPr>
              <w:spacing w:after="0"/>
              <w:rPr>
                <w:sz w:val="4"/>
                <w:szCs w:val="4"/>
                <w:color w:val="auto"/>
              </w:rPr>
            </w:pPr>
          </w:p>
        </w:tc>
        <w:tc>
          <w:tcPr>
            <w:tcW w:w="200" w:type="dxa"/>
            <w:vAlign w:val="bottom"/>
          </w:tcPr>
          <w:p>
            <w:pPr>
              <w:spacing w:after="0"/>
              <w:rPr>
                <w:sz w:val="4"/>
                <w:szCs w:val="4"/>
                <w:color w:val="auto"/>
              </w:rPr>
            </w:pPr>
          </w:p>
        </w:tc>
        <w:tc>
          <w:tcPr>
            <w:tcW w:w="80" w:type="dxa"/>
            <w:vAlign w:val="bottom"/>
          </w:tcPr>
          <w:p>
            <w:pPr>
              <w:spacing w:after="0"/>
              <w:rPr>
                <w:sz w:val="4"/>
                <w:szCs w:val="4"/>
                <w:color w:val="auto"/>
              </w:rPr>
            </w:pPr>
          </w:p>
        </w:tc>
        <w:tc>
          <w:tcPr>
            <w:tcW w:w="180" w:type="dxa"/>
            <w:vAlign w:val="bottom"/>
          </w:tcPr>
          <w:p>
            <w:pPr>
              <w:spacing w:after="0"/>
              <w:rPr>
                <w:sz w:val="4"/>
                <w:szCs w:val="4"/>
                <w:color w:val="auto"/>
              </w:rPr>
            </w:pPr>
          </w:p>
        </w:tc>
        <w:tc>
          <w:tcPr>
            <w:tcW w:w="100" w:type="dxa"/>
            <w:vAlign w:val="bottom"/>
            <w:tcBorders>
              <w:right w:val="single" w:sz="8" w:color="D6D1D1"/>
            </w:tcBorders>
          </w:tcPr>
          <w:p>
            <w:pPr>
              <w:spacing w:after="0"/>
              <w:rPr>
                <w:sz w:val="4"/>
                <w:szCs w:val="4"/>
                <w:color w:val="auto"/>
              </w:rPr>
            </w:pPr>
          </w:p>
        </w:tc>
        <w:tc>
          <w:tcPr>
            <w:tcW w:w="1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1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100" w:type="dxa"/>
            <w:vAlign w:val="bottom"/>
            <w:tcBorders>
              <w:bottom w:val="single" w:sz="8" w:color="D6D1D1"/>
            </w:tcBorders>
          </w:tcPr>
          <w:p>
            <w:pPr>
              <w:spacing w:after="0"/>
              <w:rPr>
                <w:sz w:val="4"/>
                <w:szCs w:val="4"/>
                <w:color w:val="auto"/>
              </w:rPr>
            </w:pPr>
          </w:p>
        </w:tc>
        <w:tc>
          <w:tcPr>
            <w:tcW w:w="1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1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0" w:type="dxa"/>
            <w:vAlign w:val="bottom"/>
            <w:tcBorders>
              <w:bottom w:val="single" w:sz="8" w:color="D6D1D1"/>
            </w:tcBorders>
          </w:tcPr>
          <w:p>
            <w:pPr>
              <w:spacing w:after="0"/>
              <w:rPr>
                <w:sz w:val="4"/>
                <w:szCs w:val="4"/>
                <w:color w:val="auto"/>
              </w:rPr>
            </w:pPr>
          </w:p>
        </w:tc>
        <w:tc>
          <w:tcPr>
            <w:tcW w:w="180" w:type="dxa"/>
            <w:vAlign w:val="bottom"/>
            <w:tcBorders>
              <w:bottom w:val="single" w:sz="8" w:color="D6D1D1"/>
            </w:tcBorders>
          </w:tcPr>
          <w:p>
            <w:pPr>
              <w:spacing w:after="0"/>
              <w:rPr>
                <w:sz w:val="4"/>
                <w:szCs w:val="4"/>
                <w:color w:val="auto"/>
              </w:rPr>
            </w:pPr>
          </w:p>
        </w:tc>
        <w:tc>
          <w:tcPr>
            <w:tcW w:w="12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180" w:type="dxa"/>
            <w:vAlign w:val="bottom"/>
            <w:tcBorders>
              <w:bottom w:val="single" w:sz="8" w:color="D6D1D1"/>
            </w:tcBorders>
          </w:tcPr>
          <w:p>
            <w:pPr>
              <w:spacing w:after="0"/>
              <w:rPr>
                <w:sz w:val="4"/>
                <w:szCs w:val="4"/>
                <w:color w:val="auto"/>
              </w:rPr>
            </w:pPr>
          </w:p>
        </w:tc>
        <w:tc>
          <w:tcPr>
            <w:tcW w:w="200" w:type="dxa"/>
            <w:vAlign w:val="bottom"/>
            <w:tcBorders>
              <w:bottom w:val="single" w:sz="8" w:color="D6D1D1"/>
            </w:tcBorders>
          </w:tcPr>
          <w:p>
            <w:pPr>
              <w:spacing w:after="0"/>
              <w:rPr>
                <w:sz w:val="4"/>
                <w:szCs w:val="4"/>
                <w:color w:val="auto"/>
              </w:rPr>
            </w:pPr>
          </w:p>
        </w:tc>
        <w:tc>
          <w:tcPr>
            <w:tcW w:w="80" w:type="dxa"/>
            <w:vAlign w:val="bottom"/>
            <w:tcBorders>
              <w:bottom w:val="single" w:sz="8" w:color="D6D1D1"/>
            </w:tcBorders>
          </w:tcPr>
          <w:p>
            <w:pPr>
              <w:spacing w:after="0"/>
              <w:rPr>
                <w:sz w:val="4"/>
                <w:szCs w:val="4"/>
                <w:color w:val="auto"/>
              </w:rPr>
            </w:pPr>
          </w:p>
        </w:tc>
        <w:tc>
          <w:tcPr>
            <w:tcW w:w="220" w:type="dxa"/>
            <w:vAlign w:val="bottom"/>
            <w:tcBorders>
              <w:bottom w:val="single" w:sz="8" w:color="D6D1D1"/>
            </w:tcBorders>
          </w:tcPr>
          <w:p>
            <w:pPr>
              <w:spacing w:after="0"/>
              <w:rPr>
                <w:sz w:val="4"/>
                <w:szCs w:val="4"/>
                <w:color w:val="auto"/>
              </w:rPr>
            </w:pPr>
          </w:p>
        </w:tc>
        <w:tc>
          <w:tcPr>
            <w:tcW w:w="200" w:type="dxa"/>
            <w:vAlign w:val="bottom"/>
            <w:tcBorders>
              <w:bottom w:val="single" w:sz="8" w:color="D6D1D1"/>
              <w:right w:val="single" w:sz="8" w:color="D6D1D1"/>
            </w:tcBorders>
          </w:tcPr>
          <w:p>
            <w:pPr>
              <w:spacing w:after="0"/>
              <w:rPr>
                <w:sz w:val="4"/>
                <w:szCs w:val="4"/>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269875</wp:posOffset>
            </wp:positionH>
            <wp:positionV relativeFrom="paragraph">
              <wp:posOffset>-1208405</wp:posOffset>
            </wp:positionV>
            <wp:extent cx="2981960" cy="87503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a:extLst>
                        <a:ext uri="{28A0092B-C50C-407E-A947-70E740481C1C}"/>
                      </a:extLst>
                    </a:blip>
                    <a:srcRect/>
                    <a:stretch>
                      <a:fillRect/>
                    </a:stretch>
                  </pic:blipFill>
                  <pic:spPr bwMode="auto">
                    <a:xfrm>
                      <a:off x="0" y="0"/>
                      <a:ext cx="2981960" cy="875030"/>
                    </a:xfrm>
                    <a:prstGeom prst="rect">
                      <a:avLst/>
                    </a:prstGeom>
                    <a:noFill/>
                  </pic:spPr>
                </pic:pic>
              </a:graphicData>
            </a:graphic>
          </wp:anchor>
        </w:drawing>
        <w:drawing>
          <wp:anchor simplePos="0" relativeHeight="251657728" behindDoc="1" locked="0" layoutInCell="0" allowOverlap="1">
            <wp:simplePos x="0" y="0"/>
            <wp:positionH relativeFrom="column">
              <wp:posOffset>811530</wp:posOffset>
            </wp:positionH>
            <wp:positionV relativeFrom="paragraph">
              <wp:posOffset>-113665</wp:posOffset>
            </wp:positionV>
            <wp:extent cx="73025" cy="7302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extLst>
                        <a:ext uri="{28A0092B-C50C-407E-A947-70E740481C1C}"/>
                      </a:extLst>
                    </a:blip>
                    <a:srcRect/>
                    <a:stretch>
                      <a:fillRect/>
                    </a:stretch>
                  </pic:blipFill>
                  <pic:spPr bwMode="auto">
                    <a:xfrm>
                      <a:off x="0" y="0"/>
                      <a:ext cx="73025" cy="73025"/>
                    </a:xfrm>
                    <a:prstGeom prst="rect">
                      <a:avLst/>
                    </a:prstGeom>
                    <a:noFill/>
                  </pic:spPr>
                </pic:pic>
              </a:graphicData>
            </a:graphic>
          </wp:anchor>
        </w:drawing>
        <w:drawing>
          <wp:anchor simplePos="0" relativeHeight="251657728" behindDoc="1" locked="0" layoutInCell="0" allowOverlap="1">
            <wp:simplePos x="0" y="0"/>
            <wp:positionH relativeFrom="column">
              <wp:posOffset>2524760</wp:posOffset>
            </wp:positionH>
            <wp:positionV relativeFrom="paragraph">
              <wp:posOffset>-113665</wp:posOffset>
            </wp:positionV>
            <wp:extent cx="73025" cy="730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extLst>
                        <a:ext uri="{28A0092B-C50C-407E-A947-70E740481C1C}"/>
                      </a:extLst>
                    </a:blip>
                    <a:srcRect/>
                    <a:stretch>
                      <a:fillRect/>
                    </a:stretch>
                  </pic:blipFill>
                  <pic:spPr bwMode="auto">
                    <a:xfrm>
                      <a:off x="0" y="0"/>
                      <a:ext cx="73025" cy="73025"/>
                    </a:xfrm>
                    <a:prstGeom prst="rect">
                      <a:avLst/>
                    </a:prstGeom>
                    <a:noFill/>
                  </pic:spPr>
                </pic:pic>
              </a:graphicData>
            </a:graphic>
          </wp:anchor>
        </w:drawing>
        <w:drawing>
          <wp:anchor simplePos="0" relativeHeight="251657728" behindDoc="1" locked="0" layoutInCell="0" allowOverlap="1">
            <wp:simplePos x="0" y="0"/>
            <wp:positionH relativeFrom="column">
              <wp:posOffset>302895</wp:posOffset>
            </wp:positionH>
            <wp:positionV relativeFrom="paragraph">
              <wp:posOffset>-1758315</wp:posOffset>
            </wp:positionV>
            <wp:extent cx="2602865" cy="8636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extLst>
                        <a:ext uri="{28A0092B-C50C-407E-A947-70E740481C1C}"/>
                      </a:extLst>
                    </a:blip>
                    <a:srcRect/>
                    <a:stretch>
                      <a:fillRect/>
                    </a:stretch>
                  </pic:blipFill>
                  <pic:spPr bwMode="auto">
                    <a:xfrm>
                      <a:off x="0" y="0"/>
                      <a:ext cx="2602865" cy="86360"/>
                    </a:xfrm>
                    <a:prstGeom prst="rect">
                      <a:avLst/>
                    </a:prstGeom>
                    <a:noFill/>
                  </pic:spPr>
                </pic:pic>
              </a:graphicData>
            </a:graphic>
          </wp:anchor>
        </w:drawing>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367" w:lineRule="exact"/>
        <w:rPr>
          <w:sz w:val="20"/>
          <w:szCs w:val="20"/>
          <w:color w:val="auto"/>
        </w:rPr>
      </w:pPr>
    </w:p>
    <w:p>
      <w:pPr xmlns:w="http://schemas.openxmlformats.org/wordprocessingml/2006/main">
        <w:jc w:val="both"/>
        <w:spacing w:after="0" w:line="274" w:lineRule="auto"/>
        <w:rPr>
          <w:sz w:val="20"/>
          <w:szCs w:val="20"/>
          <w:color w:val="auto"/>
        </w:rPr>
      </w:pPr>
      <w:r>
        <w:rPr xmlns:w="http://schemas.openxmlformats.org/wordprocessingml/2006/main">
          <w:rFonts w:ascii="Arial" w:cs="Arial" w:eastAsia="Arial" w:hAnsi="Arial"/>
          <w:sz w:val="14"/>
          <w:szCs w:val="14"/>
          <w:color w:val="auto"/>
        </w:rPr>
        <w:t xml:space="preserve">Η απόδοση δεν είναι σταθερή με την πάροδο του χρόνου και δεν αποτελεί εγγύηση για μελλοντική απόδοση.</w:t>
      </w:r>
    </w:p>
    <w:p>
      <w:pPr xmlns:w="http://schemas.openxmlformats.org/wordprocessingml/2006/main">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Οι ετήσιες επιδόσεις που παρουσιάζονται στο παρόν διάγραμμα υπολογίζονται αφού αφαιρεθούν όλα τα τέλη που χρεώνονται από το Ταμείο.</w:t>
      </w:r>
      <w:r>
        <w:rPr xmlns:w="http://schemas.openxmlformats.org/wordprocessingml/2006/main">
          <w:rFonts w:ascii="Arial" w:cs="Arial" w:eastAsia="Arial" w:hAnsi="Arial"/>
          <w:sz w:val="14"/>
          <w:szCs w:val="14"/>
          <w:color w:val="auto"/>
        </w:rPr>
        <w:t xml:space="preserve"> Η SICAV ιδρύθηκε στις 06 Σεπτεμβρίου 2018.</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Το νόμισμα αναφοράς είναι</w:t>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ευρώ.</w:t>
      </w:r>
    </w:p>
    <w:p>
      <w:pPr>
        <w:spacing w:after="0" w:line="19" w:lineRule="exact"/>
        <w:rPr>
          <w:sz w:val="20"/>
          <w:szCs w:val="20"/>
          <w:color w:val="auto"/>
        </w:rPr>
      </w:pPr>
    </w:p>
    <w:p>
      <w:pPr xmlns:w="http://schemas.openxmlformats.org/wordprocessingml/2006/main">
        <w:jc w:val="both"/>
        <w:spacing w:after="0" w:line="275" w:lineRule="auto"/>
        <w:rPr>
          <w:sz w:val="20"/>
          <w:szCs w:val="20"/>
          <w:color w:val="auto"/>
        </w:rPr>
      </w:pPr>
      <w:r>
        <w:rPr xmlns:w="http://schemas.openxmlformats.org/wordprocessingml/2006/main">
          <w:rFonts w:ascii="Arial" w:cs="Arial" w:eastAsia="Arial" w:hAnsi="Arial"/>
          <w:sz w:val="14"/>
          <w:szCs w:val="14"/>
          <w:color w:val="auto"/>
        </w:rPr>
        <w:t xml:space="preserve">Όταν ο δείκτης αναφοράς εκφράζεται σε νόμισμα διαφορετικό από εκείνο του Ταμείου, η απόδοση του δείκτη αναφοράς μετατρέπεται πρώτα στο νόμισμα του Ταμείου για λόγους σαφήνειας και σύγκρισης.</w:t>
      </w:r>
      <w:r>
        <w:rPr xmlns:w="http://schemas.openxmlformats.org/wordprocessingml/2006/main">
          <w:rFonts w:ascii="Arial" w:cs="Arial" w:eastAsia="Arial" w:hAnsi="Arial"/>
          <w:sz w:val="14"/>
          <w:szCs w:val="14"/>
          <w:color w:val="auto"/>
        </w:rPr>
        <w:t xml:space="preserve"> Για το σκοπό αυτό, μια πράξη συναλλάγματος (στην τιμή του WM Reuters στις 17:00 της συγκεκριμένης ημέρας) εφαρμόζεται καθημερινά στην αξία του δείκτη αναφοράς.</w:t>
      </w:r>
    </w:p>
    <w:p>
      <w:pPr>
        <w:spacing w:after="0" w:line="979" w:lineRule="exact"/>
        <w:rPr>
          <w:sz w:val="20"/>
          <w:szCs w:val="20"/>
          <w:color w:val="auto"/>
        </w:rPr>
      </w:pPr>
    </w:p>
    <w:p>
      <w:pPr>
        <w:sectPr>
          <w:pgSz w:w="11900" w:h="16838" w:orient="portrait"/>
          <w:cols w:equalWidth="0" w:num="2">
            <w:col w:w="5140" w:space="200"/>
            <w:col w:w="4560"/>
          </w:cols>
          <w:pgMar w:left="1000" w:top="1088" w:right="1006" w:bottom="0" w:gutter="0" w:footer="0" w:header="0"/>
          <w:type w:val="continuous"/>
        </w:sectPr>
      </w:pPr>
    </w:p>
    <w:p>
      <w:pPr xmlns:w="http://schemas.openxmlformats.org/wordprocessingml/2006/main">
        <w:ind w:left="220" w:hanging="120"/>
        <w:spacing w:after="0"/>
        <w:tabs>
          <w:tab w:leader="none" w:pos="220" w:val="left"/>
        </w:tabs>
        <w:numPr>
          <w:ilvl w:val="0"/>
          <w:numId w:val="1"/>
        </w:numPr>
        <w:rPr>
          <w:rFonts w:ascii="Arial" w:cs="Arial" w:eastAsia="Arial" w:hAnsi="Arial"/>
          <w:sz w:val="10"/>
          <w:szCs w:val="10"/>
          <w:color w:val="auto"/>
        </w:rPr>
      </w:pPr>
      <w:r>
        <w:rPr xmlns:w="http://schemas.openxmlformats.org/wordprocessingml/2006/main">
          <w:rFonts w:ascii="Arial" w:cs="Arial" w:eastAsia="Arial" w:hAnsi="Arial"/>
          <w:sz w:val="10"/>
          <w:szCs w:val="10"/>
          <w:color w:val="auto"/>
        </w:rPr>
        <w:t xml:space="preserve">Έως τις 26 Οκτωβρίου 2021, ο δείκτης αναφοράς του Ταμείου ήταν ο Παγκόσμιος Δείκτης Συνολικής Απόδοσης Υδάτων cw.</w:t>
      </w:r>
    </w:p>
    <w:p>
      <w:pPr>
        <w:spacing w:after="0" w:line="85" w:lineRule="exact"/>
        <w:rPr>
          <w:rFonts w:ascii="Arial" w:cs="Arial" w:eastAsia="Arial" w:hAnsi="Arial"/>
          <w:sz w:val="10"/>
          <w:szCs w:val="10"/>
          <w:color w:val="auto"/>
        </w:rPr>
      </w:pPr>
    </w:p>
    <w:p>
      <w:pPr xmlns:w="http://schemas.openxmlformats.org/wordprocessingml/2006/main">
        <w:ind w:left="100" w:right="4840"/>
        <w:spacing w:after="0" w:line="266" w:lineRule="auto"/>
        <w:tabs>
          <w:tab w:leader="none" w:pos="222" w:val="left"/>
        </w:tabs>
        <w:numPr>
          <w:ilvl w:val="0"/>
          <w:numId w:val="1"/>
        </w:numPr>
        <w:rPr>
          <w:rFonts w:ascii="Arial" w:cs="Arial" w:eastAsia="Arial" w:hAnsi="Arial"/>
          <w:sz w:val="9"/>
          <w:szCs w:val="9"/>
          <w:color w:val="auto"/>
        </w:rPr>
      </w:pPr>
      <w:r>
        <w:rPr xmlns:w="http://schemas.openxmlformats.org/wordprocessingml/2006/main">
          <w:rFonts w:ascii="Arial" w:cs="Arial" w:eastAsia="Arial" w:hAnsi="Arial"/>
          <w:sz w:val="9"/>
          <w:szCs w:val="9"/>
          <w:color w:val="auto"/>
        </w:rPr>
        <w:t xml:space="preserve">Έως τις 6 Σεπτεμβρίου 2018, οι επιδόσεις του αναφερόμενου Ταμείου αντιστοιχούσαν σε εκείνες του ETF LYXOR WORLD WATER ΟΣΕΚΑ (το απορροφώμενο Ταμείο).</w:t>
      </w:r>
      <w:r>
        <w:rPr xmlns:w="http://schemas.openxmlformats.org/wordprocessingml/2006/main">
          <w:rFonts w:ascii="Arial" w:cs="Arial" w:eastAsia="Arial" w:hAnsi="Arial"/>
          <w:sz w:val="9"/>
          <w:szCs w:val="9"/>
          <w:color w:val="auto"/>
        </w:rPr>
        <w:t xml:space="preserve"> </w:t>
      </w:r>
      <w:r>
        <w:rPr xmlns:w="http://schemas.openxmlformats.org/wordprocessingml/2006/main">
          <w:rFonts w:ascii="Arial" w:cs="Arial" w:eastAsia="Arial" w:hAnsi="Arial"/>
          <w:sz w:val="9"/>
          <w:szCs w:val="9"/>
          <w:color w:val="auto"/>
        </w:rPr>
        <w:t xml:space="preserve">Το τελευταίο απορροφήθηκε από το Ταμείο στις 06 Σεπτεμβρίου 2018.</w:t>
      </w:r>
    </w:p>
    <w:p>
      <w:pPr xmlns:w="http://schemas.openxmlformats.org/wordprocessingml/2006/main">
        <w:ind w:left="100" w:right="4960"/>
        <w:spacing w:after="0" w:line="208" w:lineRule="auto"/>
        <w:tabs>
          <w:tab w:leader="none" w:pos="228" w:val="left"/>
        </w:tabs>
        <w:numPr>
          <w:ilvl w:val="0"/>
          <w:numId w:val="1"/>
        </w:numPr>
        <w:rPr>
          <w:rFonts w:ascii="Arial" w:cs="Arial" w:eastAsia="Arial" w:hAnsi="Arial"/>
          <w:sz w:val="10"/>
          <w:szCs w:val="10"/>
          <w:color w:val="auto"/>
        </w:rPr>
      </w:pPr>
      <w:r>
        <w:rPr xmlns:w="http://schemas.openxmlformats.org/wordprocessingml/2006/main">
          <w:rFonts w:ascii="Arial" w:cs="Arial" w:eastAsia="Arial" w:hAnsi="Arial"/>
          <w:sz w:val="10"/>
          <w:szCs w:val="10"/>
          <w:color w:val="auto"/>
        </w:rPr>
        <w:t xml:space="preserve">Έως τις 7 Οκτωβρίου 2020, οι επιδόσεις του Ταμείου που επισημάνθηκαν αντιστοιχούσαν σε έμμεση αναπαραγωγή του δείκτη αναφοράς.</w:t>
      </w:r>
      <w:r>
        <w:rPr xmlns:w="http://schemas.openxmlformats.org/wordprocessingml/2006/main">
          <w:rFonts w:ascii="Arial" w:cs="Arial" w:eastAsia="Arial" w:hAnsi="Arial"/>
          <w:sz w:val="10"/>
          <w:szCs w:val="10"/>
          <w:color w:val="auto"/>
        </w:rPr>
        <w:t xml:space="preserve"> Από τις 08 Οκτωβρίου 2020, οι επιδόσεις του Ταμείου που αναφέρονται αντιστοιχούν σε άμεση αναπαραγωγή του δείκτη αναφοράς.</w:t>
      </w:r>
    </w:p>
    <w:p>
      <w:pPr>
        <w:spacing w:after="0" w:line="1" w:lineRule="exact"/>
        <w:rPr>
          <w:rFonts w:ascii="Arial" w:cs="Arial" w:eastAsia="Arial" w:hAnsi="Arial"/>
          <w:sz w:val="10"/>
          <w:szCs w:val="10"/>
          <w:color w:val="auto"/>
        </w:rPr>
      </w:pPr>
    </w:p>
    <w:p>
      <w:pPr xmlns:w="http://schemas.openxmlformats.org/wordprocessingml/2006/main">
        <w:ind w:left="100" w:right="4840"/>
        <w:spacing w:after="0" w:line="231" w:lineRule="auto"/>
        <w:tabs>
          <w:tab w:leader="none" w:pos="228" w:val="left"/>
        </w:tabs>
        <w:numPr>
          <w:ilvl w:val="0"/>
          <w:numId w:val="1"/>
        </w:numPr>
        <w:rPr>
          <w:rFonts w:ascii="Arial" w:cs="Arial" w:eastAsia="Arial" w:hAnsi="Arial"/>
          <w:sz w:val="9"/>
          <w:szCs w:val="9"/>
          <w:color w:val="auto"/>
        </w:rPr>
      </w:pPr>
      <w:r>
        <w:rPr xmlns:w="http://schemas.openxmlformats.org/wordprocessingml/2006/main">
          <w:rFonts w:ascii="Arial" w:cs="Arial" w:eastAsia="Arial" w:hAnsi="Arial"/>
          <w:sz w:val="9"/>
          <w:szCs w:val="9"/>
          <w:color w:val="auto"/>
        </w:rPr>
        <w:t xml:space="preserve">Έως τις 6 Σεπτεμβρίου 2018, οι επιδόσεις του αναφερόμενου Ταμείου αντιστοιχούσαν σε εκείνες του ETF LYXOR WORLD WATER ΟΣΕΚΑ (το απορροφώμενο Ταμείο).</w:t>
      </w:r>
      <w:r>
        <w:rPr xmlns:w="http://schemas.openxmlformats.org/wordprocessingml/2006/main">
          <w:rFonts w:ascii="Arial" w:cs="Arial" w:eastAsia="Arial" w:hAnsi="Arial"/>
          <w:sz w:val="9"/>
          <w:szCs w:val="9"/>
          <w:color w:val="auto"/>
        </w:rPr>
        <w:t xml:space="preserve"> </w:t>
      </w:r>
      <w:r>
        <w:rPr xmlns:w="http://schemas.openxmlformats.org/wordprocessingml/2006/main">
          <w:rFonts w:ascii="Arial" w:cs="Arial" w:eastAsia="Arial" w:hAnsi="Arial"/>
          <w:sz w:val="9"/>
          <w:szCs w:val="9"/>
          <w:color w:val="auto"/>
        </w:rPr>
        <w:t xml:space="preserve">Το τελευταίο απορροφήθηκε από το Ταμείο στις 06 Σεπτεμβρίου 2018.</w:t>
      </w:r>
    </w:p>
    <w:p>
      <w:pPr xmlns:w="http://schemas.openxmlformats.org/wordprocessingml/2006/main">
        <w:ind w:left="100" w:right="4960"/>
        <w:spacing w:after="0" w:line="212" w:lineRule="auto"/>
        <w:tabs>
          <w:tab w:leader="none" w:pos="222" w:val="left"/>
        </w:tabs>
        <w:numPr>
          <w:ilvl w:val="0"/>
          <w:numId w:val="1"/>
        </w:numPr>
        <w:rPr>
          <w:rFonts w:ascii="Arial" w:cs="Arial" w:eastAsia="Arial" w:hAnsi="Arial"/>
          <w:sz w:val="10"/>
          <w:szCs w:val="10"/>
          <w:color w:val="auto"/>
        </w:rPr>
      </w:pPr>
      <w:r>
        <w:rPr xmlns:w="http://schemas.openxmlformats.org/wordprocessingml/2006/main">
          <w:rFonts w:ascii="Arial" w:cs="Arial" w:eastAsia="Arial" w:hAnsi="Arial"/>
          <w:sz w:val="10"/>
          <w:szCs w:val="10"/>
          <w:color w:val="auto"/>
        </w:rPr>
        <w:t xml:space="preserve">Έως τις 7 Οκτωβρίου 2020, οι επιδόσεις του Ταμείου που επισημάνθηκαν αντιστοιχούσαν σε έμμεση αναπαραγωγή του δείκτη αναφοράς.</w:t>
      </w:r>
      <w:r>
        <w:rPr xmlns:w="http://schemas.openxmlformats.org/wordprocessingml/2006/main">
          <w:rFonts w:ascii="Arial" w:cs="Arial" w:eastAsia="Arial" w:hAnsi="Arial"/>
          <w:sz w:val="10"/>
          <w:szCs w:val="10"/>
          <w:color w:val="auto"/>
        </w:rPr>
        <w:t xml:space="preserve"> Από τις 08 Οκτωβρίου 2020, οι επιδόσεις του Ταμείου που αναφέρονται αντιστοιχούν σε άμεση αναπαραγωγή του δείκτη αναφοράς.</w:t>
      </w:r>
    </w:p>
    <w:p>
      <w:pPr>
        <w:spacing w:after="0" w:line="77"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20"/>
          <w:szCs w:val="20"/>
          <w:b w:val="1"/>
          <w:bCs w:val="1"/>
          <w:color w:val="auto"/>
          <w:highlight w:val="darkGray"/>
        </w:rPr>
        <w:t xml:space="preserve">Πρακτικές πληροφορίες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0</wp:posOffset>
                </wp:positionH>
                <wp:positionV relativeFrom="paragraph">
                  <wp:posOffset>-137795</wp:posOffset>
                </wp:positionV>
                <wp:extent cx="6290310" cy="151765"/>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290310" cy="151765"/>
                        </a:xfrm>
                        <a:prstGeom prst="rect">
                          <a:avLst/>
                        </a:prstGeom>
                        <a:solidFill>
                          <a:srgbClr val="AFAFAF"/>
                        </a:solidFill>
                      </wps:spPr>
                      <wps:bodyPr/>
                    </wps:wsp>
                  </a:graphicData>
                </a:graphic>
              </wp:anchor>
            </w:drawing>
          </mc:Choice>
          <mc:Fallback>
            <w:pict>
              <v:rect id="Shape 23" o:spid="_x0000_s1048" style="position:absolute;margin-left:0pt;margin-top:-10.8499pt;width:495.3pt;height:11.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AFAFAF" stroked="f"/>
            </w:pict>
          </mc:Fallback>
        </mc:AlternateContent>
      </w:r>
    </w:p>
    <w:p>
      <w:pPr>
        <w:spacing w:after="0" w:line="34" w:lineRule="exact"/>
        <w:rPr>
          <w:sz w:val="20"/>
          <w:szCs w:val="20"/>
          <w:color w:val="auto"/>
        </w:rPr>
      </w:pP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Όνομα του θεματοφύλακα:</w:t>
      </w:r>
      <w:r>
        <w:rPr xmlns:w="http://schemas.openxmlformats.org/wordprocessingml/2006/main">
          <w:rFonts w:ascii="Arial" w:cs="Arial" w:eastAsia="Arial" w:hAnsi="Arial"/>
          <w:sz w:val="14"/>
          <w:szCs w:val="14"/>
          <w:color w:val="auto"/>
        </w:rPr>
        <w:t xml:space="preserve"> SOCIETE GENERALE.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-96520</wp:posOffset>
            </wp:positionV>
            <wp:extent cx="88900" cy="889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Όνομα του κατασκευαστή της αγοράς:</w:t>
      </w:r>
      <w:r>
        <w:rPr xmlns:w="http://schemas.openxmlformats.org/wordprocessingml/2006/main">
          <w:rFonts w:ascii="Arial" w:cs="Arial" w:eastAsia="Arial" w:hAnsi="Arial"/>
          <w:sz w:val="14"/>
          <w:szCs w:val="14"/>
          <w:color w:val="auto"/>
        </w:rPr>
        <w:t xml:space="preserve"> SOCIETE GENERALE / LANG &amp; SCHWARZ.</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Αντιπρόσωπος στην Ελβετία:</w:t>
      </w:r>
      <w:r>
        <w:rPr xmlns:w="http://schemas.openxmlformats.org/wordprocessingml/2006/main">
          <w:rFonts w:ascii="Arial" w:cs="Arial" w:eastAsia="Arial" w:hAnsi="Arial"/>
          <w:sz w:val="14"/>
          <w:szCs w:val="14"/>
          <w:color w:val="auto"/>
        </w:rPr>
        <w:t xml:space="preserve"> Société Générale, Paris, Zurich Branch, at Talacker 50, 8001 Ζυρίχη.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Πάροχος υπηρεσιών πληρωμών στην Ελβετία:</w:t>
      </w:r>
      <w:r>
        <w:rPr xmlns:w="http://schemas.openxmlformats.org/wordprocessingml/2006/main">
          <w:rFonts w:ascii="Arial" w:cs="Arial" w:eastAsia="Arial" w:hAnsi="Arial"/>
          <w:sz w:val="14"/>
          <w:szCs w:val="14"/>
          <w:color w:val="auto"/>
        </w:rPr>
        <w:t xml:space="preserve"> Société Générale, Paris, Zurich Branch, at Talacker 50, 8001 Ζυρίχη.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Τα τελευταία ενημερωτικά δελτία και τα πιο πρόσφατα έγγραφα περιοδικής δημοσιοποίησης, καθώς και όλες οι άλλες χρήσιμες πληροφορίες, διατίθενται δωρεάν από την εταιρεία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-211455</wp:posOffset>
            </wp:positionV>
            <wp:extent cx="88900" cy="8890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Οι επικαιροποιημένες λεπτομέρειες της πολιτικής αποδοχών της εταιρείας διαχείρισης διατίθενται στον ιστότοπό της ή δωρεάν κατόπιν γραπτού αιτήματος προς αυτές.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6">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Ειδικότερα, η πολιτική αυτή περιγράφει τις μεθόδους υπολογισμού που εφαρμόζονται στις αποδοχές και στις παροχές ορισμένων κατηγοριών εργαζομένων, τους φορείς που είναι υπεύθυνοι για την κατανομή τους και τη σύνθεση της επιτροπής αποδοχών.</w:t>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Η καθαρή αξία του ενεργητικού του Ταμείου είναι διαθέσιμη κατόπιν αιτήματος της εταιρείας διαχείρισης και στην ιστοσελίδα της amundietf.com.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7">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Πληροφορίες για τους φορείς της αγοράς, τις χρηματιστηριακές αγορές και τις διαδικασίες διαπραγμάτευσης διατίθενται στην ιστοσελίδα του Ταμείου στη διεύθυνση amundietf.com.</w:t>
      </w:r>
      <w:r>
        <w:rPr xmlns:w="http://schemas.openxmlformats.org/wordprocessingml/2006/main">
          <w:rFonts w:ascii="Arial" w:cs="Arial" w:eastAsia="Arial" w:hAnsi="Arial"/>
          <w:sz w:val="14"/>
          <w:szCs w:val="14"/>
          <w:color w:val="auto"/>
        </w:rPr>
        <w:t xml:space="preserve"> Η ενδεικτική καθαρή αξία ενεργητικού δημοσιεύεται σε πραγματικό χρόνο από τον διαχειριστή του χρηματιστηρίου κατά τις ώρες διαπραγμάτευσης.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-211455</wp:posOffset>
            </wp:positionV>
            <wp:extent cx="88900" cy="889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8">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firstLine="4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Ο ΟΣΕΚΑ δεν διατίθεται σε κατοίκους των Ηνωμένων Πολιτειών της Αμερικής/"U.S. Person", όπως ορίζεται στον δικτυακό τόπο της εταιρείας διαχείρισης:</w:t>
      </w:r>
      <w:r>
        <w:rPr xmlns:w="http://schemas.openxmlformats.org/wordprocessingml/2006/main">
          <w:rFonts w:ascii="Arial" w:cs="Arial" w:eastAsia="Arial" w:hAnsi="Arial"/>
          <w:sz w:val="14"/>
          <w:szCs w:val="14"/>
          <w:color w:val="auto"/>
        </w:rPr>
        <w:t xml:space="preserve"> amundietf.com ή/και στο ενημερωτικό δελτίο.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-211455</wp:posOffset>
            </wp:positionV>
            <wp:extent cx="88900" cy="889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rPr>
          <w:sz w:val="20"/>
          <w:szCs w:val="20"/>
          <w:color w:val="auto"/>
        </w:rPr>
      </w:pPr>
      <w:r>
        <w:rPr xmlns:w="http://schemas.openxmlformats.org/wordprocessingml/2006/main">
          <w:rFonts w:ascii="Arial" w:cs="Arial" w:eastAsia="Arial" w:hAnsi="Arial"/>
          <w:sz w:val="14"/>
          <w:szCs w:val="14"/>
          <w:color w:val="auto"/>
        </w:rPr>
        <w:t xml:space="preserve">Η πολιτική διαφάνειας και οι πληροφορίες σχετικά με τη σύνθεση των περιουσιακών στοιχείων των Ταμείων διατίθενται στη διεύθυνση amundietf.com.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-85090</wp:posOffset>
            </wp:positionV>
            <wp:extent cx="88900" cy="8890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0">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68" w:lineRule="auto"/>
        <w:rPr>
          <w:sz w:val="20"/>
          <w:szCs w:val="20"/>
          <w:color w:val="auto"/>
        </w:rPr>
      </w:pPr>
      <w:r>
        <w:rPr xmlns:w="http://schemas.openxmlformats.org/wordprocessingml/2006/main">
          <w:rFonts w:ascii="Arial" w:cs="Arial" w:eastAsia="Arial" w:hAnsi="Arial"/>
          <w:sz w:val="14"/>
          <w:szCs w:val="14"/>
          <w:color w:val="auto"/>
        </w:rPr>
        <w:t xml:space="preserve">Ανάλογα με την προσωπική σας φορολογική θέση, τα κέρδη κεφαλαίου και τυχόν έσοδα που συνδέονται με την κατοχή τίτλων στο Ταμείο μπορεί να υπόκεινται σε φορολογία.</w:t>
      </w:r>
      <w:r>
        <w:rPr xmlns:w="http://schemas.openxmlformats.org/wordprocessingml/2006/main">
          <w:rFonts w:ascii="Arial" w:cs="Arial" w:eastAsia="Arial" w:hAnsi="Arial"/>
          <w:sz w:val="14"/>
          <w:szCs w:val="14"/>
          <w:color w:val="auto"/>
        </w:rPr>
        <w:t xml:space="preserve"> Σας συμβουλεύουμε να συμβουλευτείτε το συνηθισμένο σύμβουλό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-211455</wp:posOffset>
            </wp:positionV>
            <wp:extent cx="88900" cy="8890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1">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ind w:left="300"/>
        <w:spacing w:after="0" w:line="296" w:lineRule="auto"/>
        <w:rPr>
          <w:sz w:val="20"/>
          <w:szCs w:val="20"/>
          <w:color w:val="auto"/>
        </w:rPr>
      </w:pPr>
      <w:r>
        <w:rPr xmlns:w="http://schemas.openxmlformats.org/wordprocessingml/2006/main">
          <w:rFonts w:ascii="Arial" w:cs="Arial" w:eastAsia="Arial" w:hAnsi="Arial"/>
          <w:sz w:val="14"/>
          <w:szCs w:val="14"/>
          <w:color w:val="auto"/>
        </w:rPr>
        <w:t xml:space="preserve">Η Amundi Asset Management μπορεί να θεωρηθεί υπεύθυνη μόνο βάσει δηλώσεων που περιέχονται στο παρόν έγγραφο και οι οποίες είναι παραπλανητικές, ανακριβείς ή ασυνεπείς με τα αντίστοιχα μέρη του ενημερωτικού δελτίου του ΟΣΕΚΑ.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-235585</wp:posOffset>
            </wp:positionV>
            <wp:extent cx="88900" cy="889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extLst>
                        <a:ext uri="{28A0092B-C50C-407E-A947-70E740481C1C}"/>
                      </a:extLst>
                    </a:blip>
                    <a:srcRect/>
                    <a:stretch>
                      <a:fillRect/>
                    </a:stretch>
                  </pic:blipFill>
                  <pic:spPr bwMode="auto">
                    <a:xfrm>
                      <a:off x="0" y="0"/>
                      <a:ext cx="88900" cy="8890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Αυτό το Ταμείο έχει εγκριθεί στη Γαλλία και ρυθμίζεται από το Γαλλικό Ρυθμιστικό Φορέα Αγοράς (AMF).</w:t>
      </w:r>
    </w:p>
    <w:p>
      <w:pPr>
        <w:spacing w:after="0" w:line="2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Η Amundi Asset Management έχει λάβει άδεια λειτουργίας στη Γαλλία και ρυθμίζεται από την Autorité des Marchés Financiers (τη γαλλική ρυθμιστική αρχή χρηματοπιστωτικών αγορών).</w:t>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Αυτές οι βασικές πληροφορίες για τους επενδυτές είναι ακριβείς όπως τον Οκτώβριο 12, 2023.</w:t>
      </w:r>
    </w:p>
    <w:p>
      <w:pPr>
        <w:sectPr>
          <w:pgSz w:w="11900" w:h="16838" w:orient="portrait"/>
          <w:cols w:equalWidth="0" w:num="1">
            <w:col w:w="9900"/>
          </w:cols>
          <w:pgMar w:left="1000" w:top="1088" w:right="1006"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8" w:lineRule="exact"/>
        <w:rPr>
          <w:sz w:val="20"/>
          <w:szCs w:val="20"/>
          <w:color w:val="auto"/>
        </w:rPr>
      </w:pPr>
    </w:p>
    <w:p>
      <w:pPr xmlns:w="http://schemas.openxmlformats.org/wordprocessingml/2006/main">
        <w:ind w:left="9440"/>
        <w:spacing w:after="0"/>
        <w:rPr>
          <w:sz w:val="20"/>
          <w:szCs w:val="20"/>
          <w:color w:val="auto"/>
        </w:rPr>
      </w:pPr>
      <w:r>
        <w:rPr xmlns:w="http://schemas.openxmlformats.org/wordprocessingml/2006/main">
          <w:rFonts w:ascii="Arial" w:cs="Arial" w:eastAsia="Arial" w:hAnsi="Arial"/>
          <w:sz w:val="14"/>
          <w:szCs w:val="14"/>
          <w:color w:val="auto"/>
        </w:rPr>
        <w:t xml:space="preserve">2 / 2</w:t>
      </w:r>
    </w:p>
    <w:sectPr>
      <w:pgSz w:w="11900" w:h="16838" w:orient="portrait"/>
      <w:cols w:equalWidth="0" w:num="1">
        <w:col w:w="9900"/>
      </w:cols>
      <w:pgMar w:left="1000" w:top="1088" w:right="100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67CA518"/>
    <w:multiLevelType w:val="hybridMultilevel"/>
    <w:lvl w:ilvl="0">
      <w:lvlJc w:val="left"/>
      <w:lvlText w:val="%1:"/>
      <w:numFmt w:val="upperLetter"/>
      <w:start w:val="1"/>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jpeg"/><Relationship Id="rId22" Type="http://schemas.openxmlformats.org/officeDocument/2006/relationships/image" Target="media/image11.jpeg"/><Relationship Id="rId23" Type="http://schemas.openxmlformats.org/officeDocument/2006/relationships/image" Target="media/image12.jpeg"/><Relationship Id="rId24" Type="http://schemas.openxmlformats.org/officeDocument/2006/relationships/image" Target="media/image13.jpeg"/><Relationship Id="rId25" Type="http://schemas.openxmlformats.org/officeDocument/2006/relationships/image" Target="media/image14.jpeg"/><Relationship Id="rId26" Type="http://schemas.openxmlformats.org/officeDocument/2006/relationships/image" Target="media/image15.jpeg"/><Relationship Id="rId27" Type="http://schemas.openxmlformats.org/officeDocument/2006/relationships/image" Target="media/image16.jpeg"/><Relationship Id="rId28" Type="http://schemas.openxmlformats.org/officeDocument/2006/relationships/image" Target="media/image17.jpeg"/><Relationship Id="rId29" Type="http://schemas.openxmlformats.org/officeDocument/2006/relationships/image" Target="media/image18.jpeg"/><Relationship Id="rId30" Type="http://schemas.openxmlformats.org/officeDocument/2006/relationships/image" Target="media/image19.jpeg"/><Relationship Id="rId31" Type="http://schemas.openxmlformats.org/officeDocument/2006/relationships/image" Target="media/image20.jpeg"/><Relationship Id="rId32" Type="http://schemas.openxmlformats.org/officeDocument/2006/relationships/image" Target="media/image21.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2024-05-20T14:22:07Z</dcterms:created>
  <dcterms:modified xsi:type="dcterms:W3CDTF">2024-05-20T14:22:07Z</dcterms:modified>
</cp:coreProperties>
</file>