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720"/>
        <w:spacing w:after="0"/>
        <w:rPr>
          <w:sz w:val="20"/>
          <w:szCs w:val="20"/>
          <w:color w:val="auto"/>
        </w:rPr>
      </w:pPr>
      <w:r>
        <w:rPr xmlns:w="http://schemas.openxmlformats.org/wordprocessingml/2006/main">
          <w:rFonts w:ascii="Arial" w:cs="Arial" w:eastAsia="Arial" w:hAnsi="Arial"/>
          <w:sz w:val="20"/>
          <w:szCs w:val="20"/>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396240</wp:posOffset>
            </wp:positionH>
            <wp:positionV relativeFrom="page">
              <wp:posOffset>360045</wp:posOffset>
            </wp:positionV>
            <wp:extent cx="1419225" cy="4762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419225" cy="476250"/>
                    </a:xfrm>
                    <a:prstGeom prst="rect">
                      <a:avLst/>
                    </a:prstGeom>
                    <a:noFill/>
                  </pic:spPr>
                </pic:pic>
              </a:graphicData>
            </a:graphic>
          </wp:anchor>
        </w:drawing>
      </w:r>
      <w:r>
        <w:rPr xmlns:w="http://schemas.openxmlformats.org/wordprocessingml/2006/main">
          <w:rFonts w:ascii="Arial" w:cs="Arial" w:eastAsia="Arial" w:hAnsi="Arial"/>
          <w:sz w:val="20"/>
          <w:szCs w:val="20"/>
          <w:color w:val="auto"/>
        </w:rPr>
        <w:t xml:space="preserve">ΒΑΣΙΚΕΣ ΠΛΗΡΟΦΟΡΙΕΣ ΓΙΑ ΤΟΥΣ ΕΠΕΝΔΥΤΕΣ</w:t>
      </w:r>
    </w:p>
    <w:p>
      <w:pPr>
        <w:spacing w:after="0" w:line="67" w:lineRule="exact"/>
        <w:rPr>
          <w:sz w:val="24"/>
          <w:szCs w:val="24"/>
          <w:color w:val="auto"/>
        </w:rPr>
      </w:pPr>
    </w:p>
    <w:p>
      <w:pPr xmlns:w="http://schemas.openxmlformats.org/wordprocessingml/2006/main">
        <w:ind w:left="3720" w:right="100"/>
        <w:spacing w:after="0" w:line="315" w:lineRule="auto"/>
        <w:rPr>
          <w:sz w:val="20"/>
          <w:szCs w:val="20"/>
          <w:color w:val="auto"/>
        </w:rPr>
      </w:pPr>
      <w:r>
        <w:rPr xmlns:w="http://schemas.openxmlformats.org/wordprocessingml/2006/main">
          <w:rFonts w:ascii="Arial" w:cs="Arial" w:eastAsia="Arial" w:hAnsi="Arial"/>
          <w:sz w:val="15"/>
          <w:szCs w:val="15"/>
          <w:color w:val="auto"/>
        </w:rPr>
        <w:t xml:space="preserve">Αυτό το έγγραφο σας παρέχει βασικές πληροφορίες για τους επενδυτές σχετικά με αυτό το Ταμείο.</w:t>
      </w:r>
      <w:r>
        <w:rPr xmlns:w="http://schemas.openxmlformats.org/wordprocessingml/2006/main">
          <w:rFonts w:ascii="Arial" w:cs="Arial" w:eastAsia="Arial" w:hAnsi="Arial"/>
          <w:sz w:val="15"/>
          <w:szCs w:val="15"/>
          <w:color w:val="auto"/>
        </w:rPr>
        <w:t xml:space="preserve"> Δεν είναι υλικό μάρκετινγκ.</w:t>
      </w:r>
      <w:r>
        <w:rPr xmlns:w="http://schemas.openxmlformats.org/wordprocessingml/2006/main">
          <w:rFonts w:ascii="Arial" w:cs="Arial" w:eastAsia="Arial" w:hAnsi="Arial"/>
          <w:sz w:val="15"/>
          <w:szCs w:val="15"/>
          <w:color w:val="auto"/>
        </w:rPr>
        <w:t xml:space="preserve"> Οι πληροφορίες απαιτούνται από το νόμο για να σας βοηθήσουν να κατανοήσετε τη φύση και τους κινδύνους της επένδυσης σε αυτό το Ταμείο.</w:t>
      </w:r>
      <w:r>
        <w:rPr xmlns:w="http://schemas.openxmlformats.org/wordprocessingml/2006/main">
          <w:rFonts w:ascii="Arial" w:cs="Arial" w:eastAsia="Arial" w:hAnsi="Arial"/>
          <w:sz w:val="15"/>
          <w:szCs w:val="15"/>
          <w:color w:val="auto"/>
        </w:rPr>
        <w:t xml:space="preserve"> Σας συμβουλεύουμε να το διαβάσετε, ώστε να μπορείτε να πάρετε μια τεκμηριωμένη απόφαση για το αν θα επενδύσετε.</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-24765</wp:posOffset>
            </wp:positionV>
            <wp:extent cx="6767830" cy="639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767830" cy="639445"/>
                    </a:xfrm>
                    <a:prstGeom prst="rect">
                      <a:avLst/>
                    </a:prstGeom>
                    <a:noFill/>
                  </pic:spPr>
                </pic:pic>
              </a:graphicData>
            </a:graphic>
          </wp:anchor>
        </w:drawing>
      </w:r>
    </w:p>
    <w:p>
      <w:pPr>
        <w:spacing w:after="0" w:line="42" w:lineRule="exact"/>
        <w:rPr>
          <w:sz w:val="24"/>
          <w:szCs w:val="24"/>
          <w:color w:val="auto"/>
        </w:rPr>
      </w:pPr>
    </w:p>
    <w:tbl>
      <w:tblPr>
        <w:tblLayout w:type="fixed"/>
        <w:tblInd w:w="60" w:type="dxa"/>
        <w:tblCellMar>
          <w:top w:w="0" w:type="dxa"/>
          <w:left w:w="0" w:type="dxa"/>
          <w:bottom w:w="0" w:type="dxa"/>
          <w:right w:w="0" w:type="dxa"/>
        </w:tblCellMar>
      </w:tblPr>
      <w:tr>
        <w:trPr>
          <w:trHeight w:val="345"/>
        </w:trPr>
        <w:tc>
          <w:tcPr>
            <w:tcW w:w="494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color w:val="FFFFFF"/>
                <w:w w:val="98"/>
              </w:rPr>
              <w:t xml:space="preserve">Μετοχές MSCI World Islamic ΟΣΕΚΑ ETF</w:t>
            </w:r>
          </w:p>
        </w:tc>
        <w:tc>
          <w:tcPr>
            <w:tcW w:w="2480" w:type="dxa"/>
            <w:vAlign w:val="bottom"/>
          </w:tcPr>
          <w:p>
            <w:pPr xmlns:w="http://schemas.openxmlformats.org/wordprocessingml/2006/main">
              <w:ind w:left="400"/>
              <w:spacing w:after="0"/>
              <w:rPr>
                <w:sz w:val="20"/>
                <w:szCs w:val="20"/>
                <w:color w:val="auto"/>
              </w:rPr>
            </w:pPr>
            <w:r>
              <w:rPr xmlns:w="http://schemas.openxmlformats.org/wordprocessingml/2006/main">
                <w:rFonts w:ascii="Arial" w:cs="Arial" w:eastAsia="Arial" w:hAnsi="Arial"/>
                <w:sz w:val="22"/>
                <w:szCs w:val="22"/>
                <w:color w:val="auto"/>
                <w:w w:val="89"/>
              </w:rPr>
              <w:t xml:space="preserve">Κλάση μετοχών USD (Dist)</w:t>
            </w:r>
          </w:p>
        </w:tc>
        <w:tc>
          <w:tcPr>
            <w:tcW w:w="2120" w:type="dxa"/>
            <w:vAlign w:val="bottom"/>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8"/>
                <w:szCs w:val="18"/>
                <w:color w:val="auto"/>
                <w:w w:val="86"/>
              </w:rPr>
              <w:t xml:space="preserve">Διαπραγματεύσιμο Ταμείο Συναλλάγματος (ETF)</w:t>
            </w:r>
          </w:p>
        </w:tc>
        <w:tc>
          <w:tcPr>
            <w:tcW w:w="0" w:type="dxa"/>
            <w:vAlign w:val="bottom"/>
          </w:tcPr>
          <w:p>
            <w:pPr>
              <w:spacing w:after="0"/>
              <w:rPr>
                <w:sz w:val="1"/>
                <w:szCs w:val="1"/>
                <w:color w:val="auto"/>
              </w:rPr>
            </w:pPr>
          </w:p>
        </w:tc>
      </w:tr>
      <w:tr>
        <w:trPr>
          <w:trHeight w:val="242"/>
        </w:trPr>
        <w:tc>
          <w:tcPr>
            <w:tcW w:w="494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color w:val="FFFFFF"/>
              </w:rPr>
              <w:t xml:space="preserve">Ένα επιμέρους κεφάλαιο της iShares II plc</w:t>
            </w:r>
          </w:p>
        </w:tc>
        <w:tc>
          <w:tcPr>
            <w:tcW w:w="2480" w:type="dxa"/>
            <w:vAlign w:val="bottom"/>
          </w:tcPr>
          <w:p>
            <w:pPr xmlns:w="http://schemas.openxmlformats.org/wordprocessingml/2006/main">
              <w:ind w:left="400"/>
              <w:spacing w:after="0"/>
              <w:rPr>
                <w:sz w:val="20"/>
                <w:szCs w:val="20"/>
                <w:color w:val="auto"/>
              </w:rPr>
            </w:pPr>
            <w:r>
              <w:rPr xmlns:w="http://schemas.openxmlformats.org/wordprocessingml/2006/main">
                <w:rFonts w:ascii="Arial" w:cs="Arial" w:eastAsia="Arial" w:hAnsi="Arial"/>
                <w:sz w:val="18"/>
                <w:szCs w:val="18"/>
                <w:color w:val="auto"/>
              </w:rPr>
              <w:t xml:space="preserve">ISIN:</w:t>
            </w:r>
            <w:r>
              <w:rPr xmlns:w="http://schemas.openxmlformats.org/wordprocessingml/2006/main">
                <w:rFonts w:ascii="Arial" w:cs="Arial" w:eastAsia="Arial" w:hAnsi="Arial"/>
                <w:sz w:val="18"/>
                <w:szCs w:val="18"/>
                <w:color w:val="auto"/>
              </w:rPr>
              <w:t xml:space="preserve"> IE00B27YCN58</w:t>
            </w:r>
          </w:p>
        </w:tc>
        <w:tc>
          <w:tcPr>
            <w:tcW w:w="212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104"/>
        </w:trPr>
        <w:tc>
          <w:tcPr>
            <w:tcW w:w="4940" w:type="dxa"/>
            <w:vAlign w:val="bottom"/>
            <w:vMerge w:val="continue"/>
          </w:tcPr>
          <w:p>
            <w:pPr>
              <w:spacing w:after="0"/>
              <w:rPr>
                <w:sz w:val="9"/>
                <w:szCs w:val="9"/>
                <w:color w:val="auto"/>
              </w:rPr>
            </w:pPr>
          </w:p>
        </w:tc>
        <w:tc>
          <w:tcPr>
            <w:tcW w:w="2480" w:type="dxa"/>
            <w:vAlign w:val="bottom"/>
          </w:tcPr>
          <w:p>
            <w:pPr>
              <w:spacing w:after="0"/>
              <w:rPr>
                <w:sz w:val="9"/>
                <w:szCs w:val="9"/>
                <w:color w:val="auto"/>
              </w:rPr>
            </w:pPr>
          </w:p>
        </w:tc>
        <w:tc>
          <w:tcPr>
            <w:tcW w:w="2120" w:type="dxa"/>
            <w:vAlign w:val="bottom"/>
          </w:tcPr>
          <w:p>
            <w:pPr>
              <w:spacing w:after="0"/>
              <w:rPr>
                <w:sz w:val="9"/>
                <w:szCs w:val="9"/>
                <w:color w:val="auto"/>
              </w:rPr>
            </w:pPr>
          </w:p>
        </w:tc>
        <w:tc>
          <w:tcPr>
            <w:tcW w:w="0" w:type="dxa"/>
            <w:vAlign w:val="bottom"/>
          </w:tcPr>
          <w:p>
            <w:pPr>
              <w:spacing w:after="0"/>
              <w:rPr>
                <w:sz w:val="1"/>
                <w:szCs w:val="1"/>
                <w:color w:val="auto"/>
              </w:rPr>
            </w:pPr>
          </w:p>
        </w:tc>
      </w:tr>
    </w:tbl>
    <w:p>
      <w:pPr xmlns:w="http://schemas.openxmlformats.org/wordprocessingml/2006/main">
        <w:ind w:left="5400"/>
        <w:spacing w:after="0" w:line="215" w:lineRule="auto"/>
        <w:rPr>
          <w:sz w:val="20"/>
          <w:szCs w:val="20"/>
          <w:color w:val="auto"/>
        </w:rPr>
      </w:pPr>
      <w:r>
        <w:rPr xmlns:w="http://schemas.openxmlformats.org/wordprocessingml/2006/main">
          <w:rFonts w:ascii="Arial" w:cs="Arial" w:eastAsia="Arial" w:hAnsi="Arial"/>
          <w:sz w:val="18"/>
          <w:szCs w:val="18"/>
          <w:color w:val="auto"/>
        </w:rPr>
        <w:t xml:space="preserve">Διαχειριστής:</w:t>
      </w:r>
      <w:r>
        <w:rPr xmlns:w="http://schemas.openxmlformats.org/wordprocessingml/2006/main">
          <w:rFonts w:ascii="Arial" w:cs="Arial" w:eastAsia="Arial" w:hAnsi="Arial"/>
          <w:sz w:val="18"/>
          <w:szCs w:val="18"/>
          <w:color w:val="auto"/>
        </w:rPr>
        <w:t xml:space="preserve"> BlackRock Asset Management Ireland Limited</w:t>
      </w:r>
    </w:p>
    <w:p>
      <w:pPr>
        <w:spacing w:after="0" w:line="7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Στόχοι και επενδυτική πολιτική</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22860</wp:posOffset>
            </wp:positionV>
            <wp:extent cx="6767830"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74" w:lineRule="exact"/>
        <w:rPr>
          <w:sz w:val="24"/>
          <w:szCs w:val="24"/>
          <w:color w:val="auto"/>
        </w:rPr>
      </w:pPr>
    </w:p>
    <w:p>
      <w:pPr xmlns:w="http://schemas.openxmlformats.org/wordprocessingml/2006/main">
        <w:ind w:left="140" w:right="38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Η κατηγορία μετοχών είναι μια κατηγορία μετοχών ενός Ταμείου που στοχεύει στην επίτευξη απόδοσης της επένδυσής σας, μέσω ενός συνδυασμού αύξησης κεφαλαίου και εισοδήματος επί των περιουσιακών στοιχείων του Ταμείου, που αντικατοπτρίζει την απόδοση του Παγκόσμιου Ισλαμικού Δείκτη MSCI, του δείκτη αναφοράς του Ταμείου (Δείκτης).</w:t>
      </w:r>
    </w:p>
    <w:p>
      <w:pPr>
        <w:spacing w:after="0" w:line="28" w:lineRule="exact"/>
        <w:rPr>
          <w:sz w:val="24"/>
          <w:szCs w:val="24"/>
          <w:color w:val="auto"/>
        </w:rPr>
      </w:pPr>
    </w:p>
    <w:p>
      <w:pPr xmlns:w="http://schemas.openxmlformats.org/wordprocessingml/2006/main">
        <w:ind w:left="140" w:right="20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Η Κατηγορία Μετοχών, μέσω του Ταμείου, τελεί υπό παθητική διαχείριση και αποσκοπεί στην επένδυση, στο μέτρο του δυνατού και εφικτού, και κατά τρόπο που συνάδει με τις αρχές της Σαρία, στους μετοχικούς τίτλους (π.χ. μετοχές) που αποτελούν τον Δείκτη.</w:t>
      </w:r>
    </w:p>
    <w:p>
      <w:pPr>
        <w:spacing w:after="0" w:line="28" w:lineRule="exact"/>
        <w:rPr>
          <w:sz w:val="24"/>
          <w:szCs w:val="24"/>
          <w:color w:val="auto"/>
        </w:rPr>
      </w:pPr>
    </w:p>
    <w:p>
      <w:pPr xmlns:w="http://schemas.openxmlformats.org/wordprocessingml/2006/main">
        <w:ind w:left="140" w:right="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Οι αρχές της Σαρία είναι οι κανόνες, οι αρχές και οι παράμετροι του ισλαμικού δικαίου όπως ερμηνεύονται από τους μελετητές του Ισλάμ, συμπεριλαμβανομένης, στην προκειμένη περίπτωση, της ομάδας BlackRock Shari’ah (ομάδα ισλαμιστών μελετητών που διορίστηκαν για να παρέχουν καθοδήγηση σχετικά με τη συμμόρφωση του Ταμείου με τις αρχές της Σαρία).</w:t>
      </w:r>
    </w:p>
    <w:p>
      <w:pPr>
        <w:spacing w:after="0" w:line="28" w:lineRule="exact"/>
        <w:rPr>
          <w:sz w:val="24"/>
          <w:szCs w:val="24"/>
          <w:color w:val="auto"/>
        </w:rPr>
      </w:pPr>
    </w:p>
    <w:p>
      <w:pPr xmlns:w="http://schemas.openxmlformats.org/wordprocessingml/2006/main">
        <w:jc w:val="both"/>
        <w:ind w:left="140" w:right="2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 Δείκτης μετρά την απόδοση μεγάλων και μεσαίων κεφαλαιουχικών αποθεμάτων σε ανεπτυγμένες αγορές χωρών οι οποίες είναι επιλέξιμες επενδύσεις για Ισλαμιστές επενδυτές.</w:t>
      </w:r>
      <w:r>
        <w:rPr xmlns:w="http://schemas.openxmlformats.org/wordprocessingml/2006/main">
          <w:rFonts w:ascii="Arial" w:cs="Arial" w:eastAsia="Arial" w:hAnsi="Arial"/>
          <w:sz w:val="16"/>
          <w:szCs w:val="16"/>
          <w:color w:val="auto"/>
        </w:rPr>
        <w:t xml:space="preserve"> Ο Δείκτης εφαρμόζει αυστηρές οθόνες για να αποκλείσει ορισμένες κινητές αξίες με βάση τις αρχές της Σαρία σε συμφωνία με το συμβούλιο της Σαρία που ορίζεται από τον πάροχο του δείκτη.</w:t>
      </w:r>
      <w:r>
        <w:rPr xmlns:w="http://schemas.openxmlformats.org/wordprocessingml/2006/main">
          <w:rFonts w:ascii="Arial" w:cs="Arial" w:eastAsia="Arial" w:hAnsi="Arial"/>
          <w:sz w:val="16"/>
          <w:szCs w:val="16"/>
          <w:color w:val="auto"/>
        </w:rPr>
        <w:t xml:space="preserve"> Ο δείκτης σταθμίζεται βάσει της χρηματιστηριακής αξίας.</w:t>
      </w:r>
      <w:r>
        <w:rPr xmlns:w="http://schemas.openxmlformats.org/wordprocessingml/2006/main">
          <w:rFonts w:ascii="Arial" w:cs="Arial" w:eastAsia="Arial" w:hAnsi="Arial"/>
          <w:sz w:val="16"/>
          <w:szCs w:val="16"/>
          <w:color w:val="auto"/>
        </w:rPr>
        <w:t xml:space="preserve"> Η χρηματιστηριακή αξία είναι η τιμή της μετοχής της εταιρείας πολλαπλασιασμένη με τον αριθμό των μετοχών που εκδόθηκαν.</w:t>
      </w:r>
    </w:p>
    <w:p>
      <w:pPr>
        <w:spacing w:after="0" w:line="28" w:lineRule="exact"/>
        <w:rPr>
          <w:sz w:val="24"/>
          <w:szCs w:val="24"/>
          <w:color w:val="auto"/>
        </w:rPr>
      </w:pPr>
    </w:p>
    <w:p>
      <w:pPr xmlns:w="http://schemas.openxmlformats.org/wordprocessingml/2006/main">
        <w:ind w:left="140" w:right="38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προτίθεται να αναπαράγει τον δείκτη, κατέχοντας όλους τους μετοχικούς τίτλους που αποτελούν τον δείκτη, σε παρόμοιες αναλογίες με αυτόν.</w:t>
      </w:r>
      <w:r>
        <w:rPr xmlns:w="http://schemas.openxmlformats.org/wordprocessingml/2006/main">
          <w:rFonts w:ascii="Arial" w:cs="Arial" w:eastAsia="Arial" w:hAnsi="Arial"/>
          <w:sz w:val="16"/>
          <w:szCs w:val="16"/>
          <w:color w:val="auto"/>
        </w:rPr>
        <w:t xml:space="preserve"> Αυτές μπορεί επίσης να περιλαμβάνουν τη χρήση παράγωγων χρηματοπιστωτικών μέσων (ΑΞΕ) (δηλαδή επενδύσεις οι τιμές των οποίων βασίζονται σε ένα ή περισσότερα υποκείμενα περιουσιακά στοιχεία).</w:t>
      </w:r>
    </w:p>
    <w:p>
      <w:pPr>
        <w:spacing w:after="0" w:line="28" w:lineRule="exact"/>
        <w:rPr>
          <w:sz w:val="24"/>
          <w:szCs w:val="24"/>
          <w:color w:val="auto"/>
        </w:rPr>
      </w:pPr>
    </w:p>
    <w:p>
      <w:pPr xmlns:w="http://schemas.openxmlformats.org/wordprocessingml/2006/main">
        <w:ind w:left="140" w:right="10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Στον βαθμό που συμμορφώνεται με τις αρχές της Σαρία, το Ταμείο μπορεί να επενδύει σε αμερικανικά αποθετήρια έγγραφα (ADR), παγκόσμια αποθετήρια έγγραφα (GDR) και άλλα κεφάλαια για να κερδίσει έκθεση σε συναφείς μετοχικούς τίτλους που απαρτίζουν τον δείκτη.</w:t>
      </w:r>
      <w:r>
        <w:rPr xmlns:w="http://schemas.openxmlformats.org/wordprocessingml/2006/main">
          <w:rFonts w:ascii="Arial" w:cs="Arial" w:eastAsia="Arial" w:hAnsi="Arial"/>
          <w:sz w:val="16"/>
          <w:szCs w:val="16"/>
          <w:color w:val="auto"/>
        </w:rPr>
        <w:t xml:space="preserve"> Οι ADR και οι GDR είναι επενδύσεις που εκδίδονται από χρηματοπιστωτικά ιδρύματα και ανοίγουν σε υποκείμενους μετοχικούς τίτλους.</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Το Ταμείο αυτό είναι αποφασισμένο να συμμορφώνεται με τις αρχές της Σαρία και απευθύνεται σε ισλαμιστές επενδυτές.</w:t>
      </w:r>
      <w:r>
        <w:rPr xmlns:w="http://schemas.openxmlformats.org/wordprocessingml/2006/main">
          <w:rFonts w:ascii="Arial" w:cs="Arial" w:eastAsia="Arial" w:hAnsi="Arial"/>
          <w:sz w:val="15"/>
          <w:szCs w:val="15"/>
          <w:color w:val="auto"/>
        </w:rPr>
        <w:t xml:space="preserve"> Ωστόσο, η εγγραφή είναι ανοιχτή σε οποιονδήποτε άλλο επενδυτή.</w:t>
      </w:r>
    </w:p>
    <w:p>
      <w:pPr>
        <w:spacing w:after="0" w:line="60"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Σύσταση:</w:t>
      </w:r>
      <w:r>
        <w:rPr xmlns:w="http://schemas.openxmlformats.org/wordprocessingml/2006/main">
          <w:rFonts w:ascii="Arial" w:cs="Arial" w:eastAsia="Arial" w:hAnsi="Arial"/>
          <w:sz w:val="15"/>
          <w:szCs w:val="15"/>
          <w:color w:val="auto"/>
        </w:rPr>
        <w:t xml:space="preserve"> Το Ταμείο αυτό είναι κατάλληλο για μεσομακροπρόθεσμες επενδύσεις, αν και το Ταμείο μπορεί επίσης να είναι κατάλληλο για βραχυπρόθεσμη έκθεση στον Δείκτη.</w:t>
      </w:r>
    </w:p>
    <w:p>
      <w:pPr>
        <w:spacing w:after="0" w:line="59" w:lineRule="exact"/>
        <w:rPr>
          <w:sz w:val="24"/>
          <w:szCs w:val="24"/>
          <w:color w:val="auto"/>
        </w:rPr>
      </w:pPr>
    </w:p>
    <w:p>
      <w:pPr xmlns:w="http://schemas.openxmlformats.org/wordprocessingml/2006/main">
        <w:ind w:left="140" w:right="18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Οι μετοχές σας θα διανέμουν μετοχές (δηλαδή το εισόδημα θα καταβάλλεται ανά εξάμηνο για τις μετοχές).</w:t>
      </w:r>
      <w:r>
        <w:rPr xmlns:w="http://schemas.openxmlformats.org/wordprocessingml/2006/main">
          <w:rFonts w:ascii="Arial" w:cs="Arial" w:eastAsia="Arial" w:hAnsi="Arial"/>
          <w:sz w:val="16"/>
          <w:szCs w:val="16"/>
          <w:color w:val="auto"/>
        </w:rPr>
        <w:t xml:space="preserve"> </w:t>
      </w:r>
      <w:r>
        <w:rPr xmlns:w="http://schemas.openxmlformats.org/wordprocessingml/2006/main">
          <w:rFonts w:ascii="Arial" w:cs="Arial" w:eastAsia="Arial" w:hAnsi="Arial"/>
          <w:sz w:val="16"/>
          <w:szCs w:val="16"/>
          <w:color w:val="auto"/>
        </w:rPr>
        <w:t xml:space="preserve">Τα μερίσματα μπορεί να περιλαμβάνουν ένα μέρος «ακάθαρτου εισοδήματος» (δηλαδή, το εισόδημα που απαγορεύεται βάσει των αρχών της Σαρία) που θα κοινοποιείται στους επενδυτές.</w:t>
      </w:r>
      <w:r>
        <w:rPr xmlns:w="http://schemas.openxmlformats.org/wordprocessingml/2006/main">
          <w:rFonts w:ascii="Arial" w:cs="Arial" w:eastAsia="Arial" w:hAnsi="Arial"/>
          <w:sz w:val="16"/>
          <w:szCs w:val="16"/>
          <w:color w:val="auto"/>
        </w:rPr>
        <w:t xml:space="preserve"> Οι Ισλαμιστές επενδυτές θα είναι υπεύθυνοι για τον καθαρισμό κάθε τέτοιου ακαθάριστου εισοδήματος σύμφωνα με τις αρχές της Σαρία (π.χ. με δωρεά σε φιλανθρωπικό σκοπό).</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Οι μετοχές σας θα είναι εκφρασμένες σε Δολάριο ΗΠΑ, το βασικό νόμισμα του Ταμείου.</w:t>
      </w:r>
    </w:p>
    <w:p>
      <w:pPr>
        <w:spacing w:after="0" w:line="48" w:lineRule="exact"/>
        <w:rPr>
          <w:sz w:val="24"/>
          <w:szCs w:val="24"/>
          <w:color w:val="auto"/>
        </w:rPr>
      </w:pPr>
    </w:p>
    <w:p>
      <w:pPr xmlns:w="http://schemas.openxmlformats.org/wordprocessingml/2006/main">
        <w:ind w:left="140" w:right="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Οι μετοχές είναι εισηγμένες σε ένα ή περισσότερα χρηματιστήρια και μπορούν να αποτελούν αντικείμενο διαπραγμάτευσης σε νομίσματα διαφορετικά από το βασικό τους νόμισμα.</w:t>
      </w:r>
      <w:r>
        <w:rPr xmlns:w="http://schemas.openxmlformats.org/wordprocessingml/2006/main">
          <w:rFonts w:ascii="Arial" w:cs="Arial" w:eastAsia="Arial" w:hAnsi="Arial"/>
          <w:sz w:val="16"/>
          <w:szCs w:val="16"/>
          <w:color w:val="auto"/>
        </w:rPr>
        <w:t xml:space="preserve"> Η απόδοση των μετοχών σας μπορεί να επηρεαστεί από αυτήν τη διαφορά νομίσματος.</w:t>
      </w:r>
      <w:r>
        <w:rPr xmlns:w="http://schemas.openxmlformats.org/wordprocessingml/2006/main">
          <w:rFonts w:ascii="Arial" w:cs="Arial" w:eastAsia="Arial" w:hAnsi="Arial"/>
          <w:sz w:val="16"/>
          <w:szCs w:val="16"/>
          <w:color w:val="auto"/>
        </w:rPr>
        <w:t xml:space="preserve"> Υπό κανονικές συνθήκες, μόνο εξουσιοδοτημένοι συμμετέχοντες (π.χ. επιλεγμένα χρηματοπιστωτικά ιδρύματα) μπορούν να διαπραγματεύονται μετοχές (ή συμμετοχές σε μετοχές) απευθείας με το Ταμείο.</w:t>
      </w:r>
      <w:r>
        <w:rPr xmlns:w="http://schemas.openxmlformats.org/wordprocessingml/2006/main">
          <w:rFonts w:ascii="Arial" w:cs="Arial" w:eastAsia="Arial" w:hAnsi="Arial"/>
          <w:sz w:val="16"/>
          <w:szCs w:val="16"/>
          <w:color w:val="auto"/>
        </w:rPr>
        <w:t xml:space="preserve"> Οι λοιποί επενδυτές μπορούν να διαπραγματεύονται μετοχές (ή μερίδια σε μετοχές) καθημερινά μέσω ενδιάμεσου φορέα στο χρηματιστήριο ή στα χρηματιστήρια όπου οι μετοχές αποτελούν αντικείμενο διαπραγμάτευσης.</w:t>
      </w:r>
      <w:r>
        <w:rPr xmlns:w="http://schemas.openxmlformats.org/wordprocessingml/2006/main">
          <w:rFonts w:ascii="Arial" w:cs="Arial" w:eastAsia="Arial" w:hAnsi="Arial"/>
          <w:sz w:val="16"/>
          <w:szCs w:val="16"/>
          <w:color w:val="auto"/>
        </w:rPr>
        <w:t xml:space="preserve"> Η ενδεικτική καθαρή αξία ενεργητικού δημοσιεύεται στους δικτυακούς τόπους των σχετικών χρηματιστηρίων.</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5"/>
          <w:szCs w:val="15"/>
          <w:color w:val="auto"/>
        </w:rPr>
        <w:t xml:space="preserve">Για περισσότερες πληροφορίες σχετικά με το Ταμείο, την κατηγορία μετοχών, τους κινδύνους και τις επιβαρύνσεις, ανατρέξτε στο ενημερωτικό δελτίο του Ταμείου, το οποίο είναι διαθέσιμο στις σελίδες προϊόντων στη διεύθυνση www.blackrock.com</w:t>
      </w:r>
    </w:p>
    <w:p>
      <w:pPr>
        <w:spacing w:after="0" w:line="8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Προφίλ κινδύνου και ανταμοιβής</w:t>
      </w:r>
    </w:p>
    <w:p>
      <w:pPr>
        <w:sectPr>
          <w:pgSz w:w="11900" w:h="16838" w:orient="portrait"/>
          <w:cols w:equalWidth="0" w:num="1">
            <w:col w:w="10580"/>
          </w:cols>
          <w:pgMar w:left="640" w:top="573" w:right="686" w:bottom="0" w:gutter="0" w:footer="0" w:header="0"/>
        </w:sectPr>
      </w:pPr>
    </w:p>
    <w:p>
      <w:pPr>
        <w:spacing w:after="0" w:line="111" w:lineRule="exact"/>
        <w:rPr>
          <w:sz w:val="24"/>
          <w:szCs w:val="24"/>
          <w:color w:val="auto"/>
        </w:rPr>
      </w:pPr>
    </w:p>
    <w:tbl>
      <w:tblPr>
        <w:tblLayout w:type="fixed"/>
        <w:tblInd w:w="40" w:type="dxa"/>
        <w:tblCellMar>
          <w:top w:w="0" w:type="dxa"/>
          <w:left w:w="0" w:type="dxa"/>
          <w:bottom w:w="0" w:type="dxa"/>
          <w:right w:w="0" w:type="dxa"/>
        </w:tblCellMar>
      </w:tblPr>
      <w:tr>
        <w:trPr>
          <w:trHeight w:val="228"/>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rPr>
              <w:t xml:space="preserve">Μείωση κινδύνου</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FFFFFF"/>
              </w:rPr>
              <w:t xml:space="preserve">Υψηλότερος κίνδυνος</w:t>
            </w:r>
          </w:p>
        </w:tc>
      </w:tr>
      <w:tr>
        <w:trPr>
          <w:trHeight w:val="207"/>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color w:val="FFFFFF"/>
              </w:rPr>
              <w:t xml:space="preserve">Συνήθως χαμηλότερες ανταμοιβές</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FFFFFF"/>
              </w:rPr>
              <w:t xml:space="preserve">Συνήθως υψηλότερες ανταμοιβές</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25400</wp:posOffset>
            </wp:positionH>
            <wp:positionV relativeFrom="paragraph">
              <wp:posOffset>12700</wp:posOffset>
            </wp:positionV>
            <wp:extent cx="3258185" cy="3346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3258185" cy="33464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393065</wp:posOffset>
            </wp:positionV>
            <wp:extent cx="3329940" cy="952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3329940" cy="952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-323215</wp:posOffset>
            </wp:positionV>
            <wp:extent cx="6767830" cy="952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xmlns:w="http://schemas.openxmlformats.org/wordprocessingml/2006/main">
        <w:ind w:left="14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 δείκτης αυτός βασίζεται σε ιστορικά στοιχεία και ενδέχεται να μην αποτελεί αξιόπιστη ένδειξη του μελλοντικού προφίλ κινδύνου της εν λόγω κατηγορίας μετοχών.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-260985</wp:posOffset>
            </wp:positionV>
            <wp:extent cx="45720" cy="774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Η κατηγορία κινδύνου που εμφανίζεται δεν είναι εγγυημένη και μπορεί να αλλάξει με την πάροδο του χρόνου.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-84455</wp:posOffset>
            </wp:positionV>
            <wp:extent cx="45720" cy="774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Η χαμηλότερη κατηγορία δεν σημαίνει μηδενικό κίνδυνο.</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-83820</wp:posOffset>
            </wp:positionV>
            <wp:extent cx="45720" cy="7747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right="6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Η κατηγορία μετοχών αξιολογείται έξι λόγω της φύσης των επενδύσεών της, οι οποίες περιλαμβάνουν τους κινδύνους που απαριθμούνται κατωτέρω.</w:t>
      </w:r>
      <w:r>
        <w:rPr xmlns:w="http://schemas.openxmlformats.org/wordprocessingml/2006/main">
          <w:rFonts w:ascii="Arial" w:cs="Arial" w:eastAsia="Arial" w:hAnsi="Arial"/>
          <w:sz w:val="16"/>
          <w:szCs w:val="16"/>
          <w:color w:val="auto"/>
        </w:rPr>
        <w:t xml:space="preserve"> Αυτοί οι παράγοντες μπορεί να επηρεάσουν την αξία της Κατηγορίας Μετοχών ή να εκθέσουν την Κατηγορία Μετοχών σε ζημίες.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-427355</wp:posOffset>
            </wp:positionV>
            <wp:extent cx="45720" cy="7747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6" w:lineRule="exact"/>
        <w:rPr>
          <w:sz w:val="24"/>
          <w:szCs w:val="24"/>
          <w:color w:val="auto"/>
        </w:rPr>
      </w:pPr>
    </w:p>
    <w:p>
      <w:pPr xmlns:w="http://schemas.openxmlformats.org/wordprocessingml/2006/main">
        <w:ind w:left="160" w:hanging="159"/>
        <w:spacing w:after="0" w:line="208" w:lineRule="auto"/>
        <w:tabs>
          <w:tab w:leader="none" w:pos="160" w:val="left"/>
        </w:tabs>
        <w:numPr>
          <w:ilvl w:val="0"/>
          <w:numId w:val="1"/>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Η αξία των μετοχών και των τίτλων που σχετίζονται με μετοχές μπορεί να επηρεαστεί από τις καθημερινές κινήσεις των χρηματιστηριακών αγορών.</w:t>
      </w:r>
      <w:r>
        <w:rPr xmlns:w="http://schemas.openxmlformats.org/wordprocessingml/2006/main">
          <w:rFonts w:ascii="Arial" w:cs="Arial" w:eastAsia="Arial" w:hAnsi="Arial"/>
          <w:sz w:val="15"/>
          <w:szCs w:val="15"/>
          <w:color w:val="auto"/>
        </w:rPr>
        <w:t xml:space="preserve"> Άλλοι παράγοντες που ασκούν επιρροή περιλαμβάνουν τις πολιτικές, οικονομικές ειδήσεις, τα κέρδη των εταιριών και σημαντικά επιχειρηματικά γεγονότα.</w:t>
      </w:r>
    </w:p>
    <w:p>
      <w:pPr xmlns:w="http://schemas.openxmlformats.org/wordprocessingml/2006/main">
        <w:ind w:left="160" w:hanging="159"/>
        <w:spacing w:after="0" w:line="186" w:lineRule="auto"/>
        <w:tabs>
          <w:tab w:leader="none" w:pos="160" w:val="left"/>
        </w:tabs>
        <w:numPr>
          <w:ilvl w:val="0"/>
          <w:numId w:val="1"/>
        </w:numPr>
        <w:rPr>
          <w:rFonts w:ascii="Arial" w:cs="Arial" w:eastAsia="Arial" w:hAnsi="Arial"/>
          <w:sz w:val="26"/>
          <w:szCs w:val="26"/>
          <w:color w:val="auto"/>
          <w:vertAlign w:val="subscript"/>
        </w:rPr>
      </w:pPr>
      <w:r>
        <w:rPr xmlns:w="http://schemas.openxmlformats.org/wordprocessingml/2006/main">
          <w:rFonts w:ascii="Arial" w:cs="Arial" w:eastAsia="Arial" w:hAnsi="Arial"/>
          <w:sz w:val="13"/>
          <w:szCs w:val="13"/>
          <w:color w:val="auto"/>
        </w:rPr>
        <w:t xml:space="preserve">Τα ταμεία της Σαρία γενικά δεν πληρώνουν τόκους και απαγορεύεται να επενδύουν</w:t>
      </w:r>
    </w:p>
    <w:p>
      <w:pPr>
        <w:spacing w:after="0" w:line="55" w:lineRule="exact"/>
        <w:rPr>
          <w:sz w:val="24"/>
          <w:szCs w:val="24"/>
          <w:color w:val="auto"/>
        </w:rPr>
      </w:pPr>
    </w:p>
    <w:p>
      <w:pPr xmlns:w="http://schemas.openxmlformats.org/wordprocessingml/2006/main">
        <w:ind w:left="160" w:right="340"/>
        <w:spacing w:after="0" w:line="290" w:lineRule="auto"/>
        <w:rPr>
          <w:sz w:val="20"/>
          <w:szCs w:val="20"/>
          <w:color w:val="auto"/>
        </w:rPr>
      </w:pPr>
      <w:r>
        <w:rPr xmlns:w="http://schemas.openxmlformats.org/wordprocessingml/2006/main">
          <w:rFonts w:ascii="Arial" w:cs="Arial" w:eastAsia="Arial" w:hAnsi="Arial"/>
          <w:sz w:val="16"/>
          <w:szCs w:val="16"/>
          <w:color w:val="auto"/>
        </w:rPr>
        <w:t xml:space="preserve">σε επιχειρήσεις που θεωρούνται παράνομες σύμφωνα με τις Ισλαμικές αρχές.</w:t>
      </w:r>
      <w:r>
        <w:rPr xmlns:w="http://schemas.openxmlformats.org/wordprocessingml/2006/main">
          <w:rFonts w:ascii="Arial" w:cs="Arial" w:eastAsia="Arial" w:hAnsi="Arial"/>
          <w:sz w:val="16"/>
          <w:szCs w:val="16"/>
          <w:color w:val="auto"/>
        </w:rPr>
        <w:t xml:space="preserve"> Ως αποτέλεσμα, μπορούν να έχουν διαφορετική απόδοση από άλλα κεφάλαια τα οποία δεν ακολουθούν τις Ισλαμικές αρχές.</w:t>
      </w:r>
    </w:p>
    <w:p>
      <w:pPr>
        <w:spacing w:after="0" w:line="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Οι ειδικοί κίνδυνοι που δεν λαμβάνονται επαρκώς υπόψη από τον δείκτη κινδύνου περιλαμβάνουν: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-102235</wp:posOffset>
            </wp:positionH>
            <wp:positionV relativeFrom="paragraph">
              <wp:posOffset>-84455</wp:posOffset>
            </wp:positionV>
            <wp:extent cx="45720" cy="7747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right="100" w:hanging="159"/>
        <w:spacing w:after="0" w:line="207" w:lineRule="auto"/>
        <w:tabs>
          <w:tab w:leader="none" w:pos="160" w:val="left"/>
        </w:tabs>
        <w:numPr>
          <w:ilvl w:val="0"/>
          <w:numId w:val="2"/>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Κίνδυνος αντισυμβαλλομένου:</w:t>
      </w:r>
      <w:r>
        <w:rPr xmlns:w="http://schemas.openxmlformats.org/wordprocessingml/2006/main">
          <w:rFonts w:ascii="Arial" w:cs="Arial" w:eastAsia="Arial" w:hAnsi="Arial"/>
          <w:sz w:val="15"/>
          <w:szCs w:val="15"/>
          <w:color w:val="auto"/>
        </w:rPr>
        <w:t xml:space="preserve"> Η αφερεγγυότητα οποιουδήποτε ιδρύματος που παρέχει υπηρεσίες, όπως η φύλαξη περιουσιακών στοιχείων ή ενεργεί ως αντισυμβαλλόμενος σε παράγωγα ή άλλα μέσα, μπορεί να εκθέσει την κατηγορία μετοχών σε οικονομική ζημία.</w:t>
      </w:r>
    </w:p>
    <w:p>
      <w:pPr>
        <w:spacing w:after="0" w:line="473" w:lineRule="exact"/>
        <w:rPr>
          <w:sz w:val="24"/>
          <w:szCs w:val="24"/>
          <w:color w:val="auto"/>
        </w:rPr>
      </w:pPr>
    </w:p>
    <w:p>
      <w:pPr>
        <w:sectPr>
          <w:pgSz w:w="11900" w:h="16838" w:orient="portrait"/>
          <w:cols w:equalWidth="0" w:num="2">
            <w:col w:w="5180" w:space="380"/>
            <w:col w:w="5020"/>
          </w:cols>
          <w:pgMar w:left="640" w:top="573" w:right="68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83"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2"/>
          <w:szCs w:val="12"/>
          <w:color w:val="auto"/>
        </w:rPr>
        <w:t xml:space="preserve">Το σημείο αναφοράς είναι η πνευματική ιδιοκτησία του φορέα παροχής του δείκτη.</w:t>
      </w:r>
      <w:r>
        <w:rPr xmlns:w="http://schemas.openxmlformats.org/wordprocessingml/2006/main">
          <w:rFonts w:ascii="Arial" w:cs="Arial" w:eastAsia="Arial" w:hAnsi="Arial"/>
          <w:sz w:val="12"/>
          <w:szCs w:val="12"/>
          <w:color w:val="auto"/>
        </w:rPr>
        <w:t xml:space="preserve"> Η κλάση μετοχών δεν υποστηρίζεται ή δεν υποστηρίζεται από την υπηρεσία παροχής ευρετηρίου.</w:t>
      </w:r>
      <w:r>
        <w:rPr xmlns:w="http://schemas.openxmlformats.org/wordprocessingml/2006/main">
          <w:rFonts w:ascii="Arial" w:cs="Arial" w:eastAsia="Arial" w:hAnsi="Arial"/>
          <w:sz w:val="12"/>
          <w:szCs w:val="12"/>
          <w:color w:val="auto"/>
        </w:rPr>
        <w:t xml:space="preserve"> Παρακαλείσθε να ανατρέξετε στο ενημερωτικό δελτίο του Ταμείου για πλήρη αποποίηση ευθυνών.</w:t>
      </w:r>
    </w:p>
    <w:p>
      <w:pPr>
        <w:sectPr>
          <w:pgSz w:w="11900" w:h="16838" w:orient="portrait"/>
          <w:cols w:equalWidth="0" w:num="1">
            <w:col w:w="10580"/>
          </w:cols>
          <w:pgMar w:left="640" w:top="573" w:right="68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Χρεώσεις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3561715</wp:posOffset>
            </wp:positionH>
            <wp:positionV relativeFrom="paragraph">
              <wp:posOffset>97155</wp:posOffset>
            </wp:positionV>
            <wp:extent cx="3208020" cy="17272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3208020" cy="17272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sectPr>
      </w:pPr>
    </w:p>
    <w:p>
      <w:pPr>
        <w:spacing w:after="0" w:line="168" w:lineRule="exact"/>
        <w:rPr>
          <w:sz w:val="20"/>
          <w:szCs w:val="20"/>
          <w:color w:val="auto"/>
        </w:rPr>
      </w:pPr>
    </w:p>
    <w:p>
      <w:pPr xmlns:w="http://schemas.openxmlformats.org/wordprocessingml/2006/main">
        <w:ind w:left="60" w:right="60"/>
        <w:spacing w:after="0" w:line="314" w:lineRule="auto"/>
        <w:rPr>
          <w:sz w:val="20"/>
          <w:szCs w:val="20"/>
          <w:color w:val="auto"/>
        </w:rPr>
      </w:pPr>
      <w:r>
        <w:rPr xmlns:w="http://schemas.openxmlformats.org/wordprocessingml/2006/main">
          <w:rFonts w:ascii="Arial" w:cs="Arial" w:eastAsia="Arial" w:hAnsi="Arial"/>
          <w:sz w:val="16"/>
          <w:szCs w:val="16"/>
          <w:color w:val="auto"/>
        </w:rPr>
        <w:t xml:space="preserve">Τα τέλη χρησιμοποιούνται για την κάλυψη των εξόδων λειτουργίας της κατηγορίας μετοχών, συμπεριλαμβανομένων των εξόδων μάρκετινγκ και διανομής.</w:t>
      </w:r>
      <w:r>
        <w:rPr xmlns:w="http://schemas.openxmlformats.org/wordprocessingml/2006/main">
          <w:rFonts w:ascii="Arial" w:cs="Arial" w:eastAsia="Arial" w:hAnsi="Arial"/>
          <w:sz w:val="16"/>
          <w:szCs w:val="16"/>
          <w:color w:val="auto"/>
        </w:rPr>
        <w:t xml:space="preserve"> Αυτές οι χρεώσεις μειώνουν τη δυνητική ανάπτυξη της επένδυσής σας.</w:t>
      </w:r>
    </w:p>
    <w:p>
      <w:pPr>
        <w:spacing w:after="0" w:line="2" w:lineRule="exact"/>
        <w:rPr>
          <w:sz w:val="20"/>
          <w:szCs w:val="20"/>
          <w:color w:val="auto"/>
        </w:rPr>
      </w:pPr>
    </w:p>
    <w:p>
      <w:pPr xmlns:w="http://schemas.openxmlformats.org/wordprocessingml/2006/main">
        <w:ind w:left="60" w:right="240"/>
        <w:spacing w:after="0" w:line="311" w:lineRule="auto"/>
        <w:rPr>
          <w:sz w:val="20"/>
          <w:szCs w:val="20"/>
          <w:color w:val="auto"/>
        </w:rPr>
      </w:pPr>
      <w:r>
        <w:rPr xmlns:w="http://schemas.openxmlformats.org/wordprocessingml/2006/main">
          <w:rFonts w:ascii="Arial" w:cs="Arial" w:eastAsia="Arial" w:hAnsi="Arial"/>
          <w:sz w:val="16"/>
          <w:szCs w:val="16"/>
          <w:color w:val="auto"/>
        </w:rPr>
        <w:t xml:space="preserve">*Δεν ισχύει για επενδυτές σε δευτερογενείς αγορές.</w:t>
      </w:r>
      <w:r>
        <w:rPr xmlns:w="http://schemas.openxmlformats.org/wordprocessingml/2006/main">
          <w:rFonts w:ascii="Arial" w:cs="Arial" w:eastAsia="Arial" w:hAnsi="Arial"/>
          <w:sz w:val="16"/>
          <w:szCs w:val="16"/>
          <w:color w:val="auto"/>
        </w:rPr>
        <w:t xml:space="preserve"> Οι επενδυτές που συναλλάσσονται σε χρηματιστήριο αξιών θα πληρώνουν τέλη που χρεώνουν οι χρηματιστές τους.</w:t>
      </w:r>
      <w:r>
        <w:rPr xmlns:w="http://schemas.openxmlformats.org/wordprocessingml/2006/main">
          <w:rFonts w:ascii="Arial" w:cs="Arial" w:eastAsia="Arial" w:hAnsi="Arial"/>
          <w:sz w:val="16"/>
          <w:szCs w:val="16"/>
          <w:color w:val="auto"/>
        </w:rPr>
        <w:t xml:space="preserve"> Τα εν λόγω έξοδα είναι δημοσίως διαθέσιμα σε χρηματιστήρια στα οποία οι μετοχές είναι εισηγμένες και αποτελούν αντικείμενο διαπραγμάτευσης, ή μπορούν να ληφθούν από χρηματιστές.</w:t>
      </w:r>
    </w:p>
    <w:p>
      <w:pPr>
        <w:spacing w:after="0" w:line="2" w:lineRule="exact"/>
        <w:rPr>
          <w:sz w:val="20"/>
          <w:szCs w:val="20"/>
          <w:color w:val="auto"/>
        </w:rPr>
      </w:pPr>
    </w:p>
    <w:p>
      <w:pPr xmlns:w="http://schemas.openxmlformats.org/wordprocessingml/2006/main">
        <w:ind w:left="60" w:right="14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*Οι εξουσιοδοτημένοι συμμετέχοντες που συναλλάσσονται απευθείας με το Ταμείο θα καταβάλλουν το σχετικό κόστος συναλλαγής, συμπεριλαμβανομένων, κατά τις εξοφλήσεις, τυχόν ισχύοντος φόρου υπεραξίας (CGT) και άλλων φόρων επί των υποκείμενων τίτλων.</w:t>
      </w:r>
    </w:p>
    <w:p>
      <w:pPr>
        <w:spacing w:after="0" w:line="30" w:lineRule="exact"/>
        <w:rPr>
          <w:sz w:val="20"/>
          <w:szCs w:val="20"/>
          <w:color w:val="auto"/>
        </w:rPr>
      </w:pPr>
    </w:p>
    <w:p>
      <w:pPr xmlns:w="http://schemas.openxmlformats.org/wordprocessingml/2006/main">
        <w:ind w:left="60"/>
        <w:spacing w:after="0" w:line="337" w:lineRule="auto"/>
        <w:rPr>
          <w:sz w:val="20"/>
          <w:szCs w:val="20"/>
          <w:color w:val="auto"/>
        </w:rPr>
      </w:pPr>
      <w:r>
        <w:rPr xmlns:w="http://schemas.openxmlformats.org/wordprocessingml/2006/main">
          <w:rFonts w:ascii="Arial" w:cs="Arial" w:eastAsia="Arial" w:hAnsi="Arial"/>
          <w:sz w:val="15"/>
          <w:szCs w:val="15"/>
          <w:color w:val="auto"/>
        </w:rPr>
        <w:t xml:space="preserve">Το ποσό των τρεχουσών επιβαρύνσεων βασίζεται στο σταθερό ετήσιο τέλος που χρεώνεται στην κατηγορία μετοχών σύμφωνα με το ενημερωτικό δελτίο του Ταμείου.</w:t>
      </w:r>
      <w:r>
        <w:rPr xmlns:w="http://schemas.openxmlformats.org/wordprocessingml/2006/main">
          <w:rFonts w:ascii="Arial" w:cs="Arial" w:eastAsia="Arial" w:hAnsi="Arial"/>
          <w:sz w:val="15"/>
          <w:szCs w:val="15"/>
          <w:color w:val="auto"/>
        </w:rPr>
        <w:t xml:space="preserve"> Ο αριθμός αυτός αποκλείει το κόστος που συνδέεται με τις συναλλαγές χαρτοφυλακίου, εκτός από το κόστος που καταβάλλεται στον θεματοφύλακα και τυχόν τέλος εισόδου/εξόδου που καταβάλλεται σε υποκείμενο σύστημα συλλογικών επενδύσεων (αν υπάρχει).</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67"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Εφάπαξ χρεώσεις που αναλήφθηκαν πριν ή μετά την επένδυση</w:t>
      </w:r>
    </w:p>
    <w:p>
      <w:pPr>
        <w:spacing w:after="0" w:line="54" w:lineRule="exact"/>
        <w:rPr>
          <w:sz w:val="20"/>
          <w:szCs w:val="20"/>
          <w:color w:val="auto"/>
        </w:rPr>
      </w:pPr>
    </w:p>
    <w:tbl>
      <w:tblPr>
        <w:tblLayout w:type="fixed"/>
        <w:tblInd w:w="0" w:type="dxa"/>
        <w:tblCellMar>
          <w:top w:w="0" w:type="dxa"/>
          <w:left w:w="0" w:type="dxa"/>
          <w:bottom w:w="0" w:type="dxa"/>
          <w:right w:w="0" w:type="dxa"/>
        </w:tblCellMar>
      </w:tblPr>
      <w:tr>
        <w:trPr>
          <w:trHeight w:val="26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Τέλος εισόδου</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r>
        <w:trPr>
          <w:trHeight w:val="24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Έξοδοι</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-201930</wp:posOffset>
            </wp:positionV>
            <wp:extent cx="2245995" cy="952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2245995"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-394335</wp:posOffset>
            </wp:positionV>
            <wp:extent cx="3199130" cy="952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14" w:lineRule="exact"/>
        <w:rPr>
          <w:sz w:val="20"/>
          <w:szCs w:val="20"/>
          <w:color w:val="auto"/>
        </w:rPr>
      </w:pPr>
    </w:p>
    <w:p>
      <w:pPr xmlns:w="http://schemas.openxmlformats.org/wordprocessingml/2006/main">
        <w:ind w:left="100" w:right="240"/>
        <w:spacing w:after="0" w:line="340" w:lineRule="auto"/>
        <w:rPr>
          <w:sz w:val="20"/>
          <w:szCs w:val="20"/>
          <w:color w:val="auto"/>
        </w:rPr>
      </w:pPr>
      <w:r>
        <w:rPr xmlns:w="http://schemas.openxmlformats.org/wordprocessingml/2006/main">
          <w:rFonts w:ascii="Arial" w:cs="Arial" w:eastAsia="Arial" w:hAnsi="Arial"/>
          <w:sz w:val="14"/>
          <w:szCs w:val="14"/>
          <w:color w:val="auto"/>
        </w:rPr>
        <w:t xml:space="preserve">Αυτό είναι το μέγιστο που θα μπορούσε να ληφθεί από τα χρήματά σας πριν επενδυθούν ή πριν από τα έσοδα των επενδύσεών σας καταβάλλονται.</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-17145</wp:posOffset>
            </wp:positionV>
            <wp:extent cx="3208020" cy="18351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3208020" cy="183515"/>
                    </a:xfrm>
                    <a:prstGeom prst="rect">
                      <a:avLst/>
                    </a:prstGeom>
                    <a:noFill/>
                  </pic:spPr>
                </pic:pic>
              </a:graphicData>
            </a:graphic>
          </wp:anchor>
        </w:drawing>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Τέλη που εισπράττονται από την Κατηγορία Μετοχών κατά τη διάρκεια κάθε έτους</w:t>
      </w:r>
    </w:p>
    <w:p>
      <w:pPr>
        <w:spacing w:after="0" w:line="7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Τρέχουσες χρεώσεις</w:t>
            </w:r>
          </w:p>
        </w:tc>
        <w:tc>
          <w:tcPr>
            <w:tcW w:w="780" w:type="dxa"/>
            <w:vAlign w:val="bottom"/>
          </w:tcPr>
          <w:p>
            <w:pPr>
              <w:spacing w:after="0"/>
              <w:rPr>
                <w:sz w:val="20"/>
                <w:szCs w:val="20"/>
                <w:color w:val="auto"/>
              </w:rPr>
            </w:pPr>
          </w:p>
        </w:tc>
        <w:tc>
          <w:tcPr>
            <w:tcW w:w="76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0,30%</w:t>
            </w:r>
          </w:p>
        </w:tc>
      </w:tr>
      <w:tr>
        <w:trPr>
          <w:trHeight w:val="24"/>
        </w:trPr>
        <w:tc>
          <w:tcPr>
            <w:tcW w:w="3540" w:type="dxa"/>
            <w:vAlign w:val="bottom"/>
            <w:tcBorders>
              <w:bottom w:val="single" w:sz="8" w:color="auto"/>
            </w:tcBorders>
            <w:shd w:val="clear" w:color="auto" w:fill="000000"/>
          </w:tcPr>
          <w:p>
            <w:pPr>
              <w:spacing w:after="0"/>
              <w:rPr>
                <w:sz w:val="2"/>
                <w:szCs w:val="2"/>
                <w:color w:val="auto"/>
              </w:rPr>
            </w:pPr>
          </w:p>
        </w:tc>
        <w:tc>
          <w:tcPr>
            <w:tcW w:w="780" w:type="dxa"/>
            <w:vAlign w:val="bottom"/>
            <w:tcBorders>
              <w:bottom w:val="single" w:sz="8" w:color="auto"/>
            </w:tcBorders>
          </w:tcPr>
          <w:p>
            <w:pPr>
              <w:spacing w:after="0"/>
              <w:rPr>
                <w:sz w:val="2"/>
                <w:szCs w:val="2"/>
                <w:color w:val="auto"/>
              </w:rPr>
            </w:pPr>
          </w:p>
        </w:tc>
        <w:tc>
          <w:tcPr>
            <w:tcW w:w="760" w:type="dxa"/>
            <w:vAlign w:val="bottom"/>
            <w:tcBorders>
              <w:bottom w:val="single" w:sz="8" w:color="auto"/>
              <w:right w:val="single" w:sz="8" w:color="auto"/>
            </w:tcBorders>
          </w:tcPr>
          <w:p>
            <w:pPr>
              <w:spacing w:after="0"/>
              <w:rPr>
                <w:sz w:val="2"/>
                <w:szCs w:val="2"/>
                <w:color w:val="auto"/>
              </w:rPr>
            </w:pPr>
          </w:p>
        </w:tc>
      </w:tr>
      <w:tr>
        <w:trPr>
          <w:trHeight w:val="264"/>
        </w:trPr>
        <w:tc>
          <w:tcPr>
            <w:tcW w:w="4320" w:type="dxa"/>
            <w:vAlign w:val="bottom"/>
            <w:tcBorders>
              <w:bottom w:val="single" w:sz="8" w:color="auto"/>
            </w:tcBorders>
            <w:gridSpan w:val="2"/>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w w:val="97"/>
              </w:rPr>
              <w:t xml:space="preserve">Επιβαρύνσεις που εισπράττονται από την κατηγορία μετοχών υπό ορισμένες προϋποθέσεις</w:t>
            </w:r>
          </w:p>
        </w:tc>
        <w:tc>
          <w:tcPr>
            <w:tcW w:w="760" w:type="dxa"/>
            <w:vAlign w:val="bottom"/>
            <w:tcBorders>
              <w:bottom w:val="single" w:sz="8" w:color="auto"/>
              <w:right w:val="single" w:sz="8" w:color="auto"/>
            </w:tcBorders>
            <w:shd w:val="clear" w:color="auto" w:fill="000000"/>
          </w:tcPr>
          <w:p>
            <w:pPr>
              <w:spacing w:after="0"/>
              <w:rPr>
                <w:sz w:val="22"/>
                <w:szCs w:val="22"/>
                <w:color w:val="auto"/>
              </w:rPr>
            </w:pPr>
          </w:p>
        </w:tc>
      </w:tr>
      <w:tr>
        <w:trPr>
          <w:trHeight w:val="242"/>
        </w:trPr>
        <w:tc>
          <w:tcPr>
            <w:tcW w:w="3540" w:type="dxa"/>
            <w:vAlign w:val="bottom"/>
            <w:tcBorders>
              <w:bottom w:val="single" w:sz="8" w:color="auto"/>
            </w:tcBorders>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Χρέωση απόδοσης</w:t>
            </w:r>
          </w:p>
        </w:tc>
        <w:tc>
          <w:tcPr>
            <w:tcW w:w="780" w:type="dxa"/>
            <w:vAlign w:val="bottom"/>
            <w:tcBorders>
              <w:bottom w:val="single" w:sz="8" w:color="auto"/>
            </w:tcBorders>
          </w:tcPr>
          <w:p>
            <w:pPr>
              <w:spacing w:after="0"/>
              <w:rPr>
                <w:sz w:val="21"/>
                <w:szCs w:val="21"/>
                <w:color w:val="auto"/>
              </w:rPr>
            </w:pPr>
          </w:p>
        </w:tc>
        <w:tc>
          <w:tcPr>
            <w:tcW w:w="760" w:type="dxa"/>
            <w:vAlign w:val="bottom"/>
            <w:tcBorders>
              <w:bottom w:val="single" w:sz="8" w:color="auto"/>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Κανένα</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-358775</wp:posOffset>
            </wp:positionV>
            <wp:extent cx="3199130" cy="952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-165735</wp:posOffset>
            </wp:positionV>
            <wp:extent cx="3199130" cy="952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-522605</wp:posOffset>
            </wp:positionV>
            <wp:extent cx="3199130" cy="952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994" w:lineRule="exact"/>
        <w:rPr>
          <w:sz w:val="20"/>
          <w:szCs w:val="20"/>
          <w:color w:val="auto"/>
        </w:rPr>
      </w:pPr>
    </w:p>
    <w:p>
      <w:pPr>
        <w:sectPr>
          <w:pgSz w:w="11900" w:h="16838" w:orient="portrait"/>
          <w:cols w:equalWidth="0" w:num="2">
            <w:col w:w="5340" w:space="260"/>
            <w:col w:w="5060"/>
          </w:cols>
          <w:pgMar w:left="620" w:top="609" w:right="626" w:bottom="0" w:gutter="0" w:footer="0" w:header="0"/>
          <w:type w:val="continuous"/>
        </w:sect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Προηγούμενη απόδοση</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type w:val="continuous"/>
        </w:sectPr>
      </w:pPr>
    </w:p>
    <w:p>
      <w:pPr>
        <w:spacing w:after="0" w:line="112" w:lineRule="exact"/>
        <w:rPr>
          <w:sz w:val="20"/>
          <w:szCs w:val="20"/>
          <w:color w:val="auto"/>
        </w:rPr>
      </w:pPr>
    </w:p>
    <w:p>
      <w:pPr xmlns:w="http://schemas.openxmlformats.org/wordprocessingml/2006/main">
        <w:ind w:right="74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Οι προηγούμενες επιδόσεις δεν αποτελούν οδηγό για τις μελλοντικές επιδόσεις.</w:t>
      </w:r>
    </w:p>
    <w:p>
      <w:pPr>
        <w:spacing w:after="0" w:line="1" w:lineRule="exact"/>
        <w:rPr>
          <w:sz w:val="20"/>
          <w:szCs w:val="20"/>
          <w:color w:val="auto"/>
        </w:rPr>
      </w:pPr>
    </w:p>
    <w:p>
      <w:pPr xmlns:w="http://schemas.openxmlformats.org/wordprocessingml/2006/main">
        <w:spacing w:after="0" w:line="328" w:lineRule="auto"/>
        <w:rPr>
          <w:sz w:val="20"/>
          <w:szCs w:val="20"/>
          <w:color w:val="auto"/>
        </w:rPr>
      </w:pPr>
      <w:r>
        <w:rPr xmlns:w="http://schemas.openxmlformats.org/wordprocessingml/2006/main">
          <w:rFonts w:ascii="Arial" w:cs="Arial" w:eastAsia="Arial" w:hAnsi="Arial"/>
          <w:sz w:val="15"/>
          <w:szCs w:val="15"/>
          <w:color w:val="auto"/>
        </w:rPr>
        <w:t xml:space="preserve">Το διάγραμμα δείχνει την ετήσια απόδοση της κατηγορίας των μετοχών σε δολάρια ΗΠΑ για κάθε πλήρες ημερολογιακό έτος κατά τη διάρκεια της περιόδου που εμφανίζεται στο γράφημα.</w:t>
      </w:r>
      <w:r>
        <w:rPr xmlns:w="http://schemas.openxmlformats.org/wordprocessingml/2006/main">
          <w:rFonts w:ascii="Arial" w:cs="Arial" w:eastAsia="Arial" w:hAnsi="Arial"/>
          <w:sz w:val="15"/>
          <w:szCs w:val="15"/>
          <w:color w:val="auto"/>
        </w:rPr>
        <w:t xml:space="preserve"> Εκφράζεται ως ποσοστιαία μεταβολή της καθαρής αξίας του ενεργητικού της Κατηγορίας Μετοχών στο τέλος κάθε έτους.</w:t>
      </w:r>
      <w:r>
        <w:rPr xmlns:w="http://schemas.openxmlformats.org/wordprocessingml/2006/main">
          <w:rFonts w:ascii="Arial" w:cs="Arial" w:eastAsia="Arial" w:hAnsi="Arial"/>
          <w:sz w:val="15"/>
          <w:szCs w:val="15"/>
          <w:color w:val="auto"/>
        </w:rPr>
        <w:t xml:space="preserve"> Το Ταμείο ιδρύθηκε το 2007.</w:t>
      </w:r>
      <w:r>
        <w:rPr xmlns:w="http://schemas.openxmlformats.org/wordprocessingml/2006/main">
          <w:rFonts w:ascii="Arial" w:cs="Arial" w:eastAsia="Arial" w:hAnsi="Arial"/>
          <w:sz w:val="15"/>
          <w:szCs w:val="15"/>
          <w:color w:val="auto"/>
        </w:rPr>
        <w:t xml:space="preserve"> Η Share Class ξεκίνησε το 2007.</w:t>
      </w:r>
      <w:r>
        <w:rPr xmlns:w="http://schemas.openxmlformats.org/wordprocessingml/2006/main">
          <w:rFonts w:ascii="Arial" w:cs="Arial" w:eastAsia="Arial" w:hAnsi="Arial"/>
          <w:sz w:val="15"/>
          <w:szCs w:val="15"/>
          <w:color w:val="auto"/>
        </w:rPr>
        <w:t xml:space="preserve"> Η απόδοση εμφανίζεται μετά την αφαίρεση των τρεχουσών χρεώσεων.</w:t>
      </w:r>
      <w:r>
        <w:rPr xmlns:w="http://schemas.openxmlformats.org/wordprocessingml/2006/main">
          <w:rFonts w:ascii="Arial" w:cs="Arial" w:eastAsia="Arial" w:hAnsi="Arial"/>
          <w:sz w:val="15"/>
          <w:szCs w:val="15"/>
          <w:color w:val="auto"/>
        </w:rPr>
        <w:t xml:space="preserve"> Τυχόν τέλη εισόδου/εξόδου εξαιρούνται από τον υπολογισμό.</w:t>
      </w:r>
    </w:p>
    <w:p>
      <w:pPr>
        <w:spacing w:after="0" w:line="6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 Benchmark: MSCI World Islamic Index (USD)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2"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Ιστορική επίδοση έως τις 31 Δεκεμβρίου 2023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487680</wp:posOffset>
            </wp:positionH>
            <wp:positionV relativeFrom="paragraph">
              <wp:posOffset>20955</wp:posOffset>
            </wp:positionV>
            <wp:extent cx="3977640" cy="155448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a:extLst>
                        <a:ext uri="{28A0092B-C50C-407E-A947-70E740481C1C}"/>
                      </a:extLst>
                    </a:blip>
                    <a:srcRect/>
                    <a:stretch>
                      <a:fillRect/>
                    </a:stretch>
                  </pic:blipFill>
                  <pic:spPr bwMode="auto">
                    <a:xfrm>
                      <a:off x="0" y="0"/>
                      <a:ext cx="3977640" cy="15544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40" w:type="dxa"/>
            <w:vAlign w:val="bottom"/>
            <w:tcBorders>
              <w:bottom w:val="single" w:sz="8" w:color="808080"/>
            </w:tcBorders>
          </w:tcPr>
          <w:p>
            <w:pPr>
              <w:spacing w:after="0"/>
              <w:rPr>
                <w:sz w:val="19"/>
                <w:szCs w:val="19"/>
                <w:color w:val="auto"/>
              </w:rPr>
            </w:pPr>
          </w:p>
        </w:tc>
        <w:tc>
          <w:tcPr>
            <w:tcW w:w="1120" w:type="dxa"/>
            <w:vAlign w:val="bottom"/>
            <w:tcBorders>
              <w:bottom w:val="single" w:sz="8" w:color="808080"/>
              <w:right w:val="single" w:sz="8" w:color="808080"/>
            </w:tcBorders>
          </w:tcPr>
          <w:p>
            <w:pPr>
              <w:spacing w:after="0"/>
              <w:rPr>
                <w:sz w:val="19"/>
                <w:szCs w:val="19"/>
                <w:color w:val="auto"/>
              </w:rPr>
            </w:pP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2014</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2015</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2016</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2017</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2018</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2019</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2020</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2021</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2022</w:t>
            </w:r>
          </w:p>
        </w:tc>
        <w:tc>
          <w:tcPr>
            <w:tcW w:w="580" w:type="dxa"/>
            <w:vAlign w:val="bottom"/>
            <w:tcBorders>
              <w:bottom w:val="single" w:sz="8" w:color="808080"/>
            </w:tcBorders>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2023</w:t>
            </w:r>
          </w:p>
        </w:tc>
        <w:tc>
          <w:tcPr>
            <w:tcW w:w="0" w:type="dxa"/>
            <w:vAlign w:val="bottom"/>
          </w:tcPr>
          <w:p>
            <w:pPr>
              <w:spacing w:after="0"/>
              <w:rPr>
                <w:sz w:val="1"/>
                <w:szCs w:val="1"/>
                <w:color w:val="auto"/>
              </w:rPr>
            </w:pPr>
          </w:p>
        </w:tc>
      </w:tr>
      <w:tr>
        <w:trPr>
          <w:trHeight w:val="163"/>
        </w:trPr>
        <w:tc>
          <w:tcPr>
            <w:tcW w:w="140" w:type="dxa"/>
            <w:vAlign w:val="bottom"/>
            <w:shd w:val="clear" w:color="auto" w:fill="FF4713"/>
          </w:tcPr>
          <w:p>
            <w:pPr>
              <w:spacing w:after="0"/>
              <w:rPr>
                <w:sz w:val="14"/>
                <w:szCs w:val="14"/>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Ταμείο</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2,9</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-4,9</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7,4</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19,1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-9,4</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22,0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8,0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21,5</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-11,8</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22,9</w:t>
            </w:r>
          </w:p>
        </w:tc>
        <w:tc>
          <w:tcPr>
            <w:tcW w:w="0" w:type="dxa"/>
            <w:vAlign w:val="bottom"/>
          </w:tcPr>
          <w:p>
            <w:pPr>
              <w:spacing w:after="0"/>
              <w:rPr>
                <w:sz w:val="1"/>
                <w:szCs w:val="1"/>
                <w:color w:val="auto"/>
              </w:rPr>
            </w:pPr>
          </w:p>
        </w:tc>
      </w:tr>
      <w:tr>
        <w:trPr>
          <w:trHeight w:val="63"/>
        </w:trPr>
        <w:tc>
          <w:tcPr>
            <w:tcW w:w="140" w:type="dxa"/>
            <w:vAlign w:val="bottom"/>
            <w:tcBorders>
              <w:bottom w:val="single" w:sz="8" w:color="808080"/>
            </w:tcBorders>
          </w:tcPr>
          <w:p>
            <w:pPr>
              <w:spacing w:after="0"/>
              <w:rPr>
                <w:sz w:val="5"/>
                <w:szCs w:val="5"/>
                <w:color w:val="auto"/>
              </w:rPr>
            </w:pPr>
          </w:p>
        </w:tc>
        <w:tc>
          <w:tcPr>
            <w:tcW w:w="112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tcBorders>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64"/>
        </w:trPr>
        <w:tc>
          <w:tcPr>
            <w:tcW w:w="140" w:type="dxa"/>
            <w:vAlign w:val="bottom"/>
            <w:shd w:val="clear" w:color="auto" w:fill="FFCE00"/>
          </w:tcPr>
          <w:p>
            <w:pPr>
              <w:spacing w:after="0"/>
              <w:rPr>
                <w:sz w:val="14"/>
                <w:szCs w:val="14"/>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Σημείο αναφοράς †</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3,2</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7,7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19,5</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-9,1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22,5</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8,3</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22,0</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-11,7</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22,8</w:t>
            </w:r>
          </w:p>
        </w:tc>
        <w:tc>
          <w:tcPr>
            <w:tcW w:w="0" w:type="dxa"/>
            <w:vAlign w:val="bottom"/>
          </w:tcPr>
          <w:p>
            <w:pPr>
              <w:spacing w:after="0"/>
              <w:rPr>
                <w:sz w:val="1"/>
                <w:szCs w:val="1"/>
                <w:color w:val="auto"/>
              </w:rPr>
            </w:pPr>
          </w:p>
        </w:tc>
      </w:tr>
      <w:tr>
        <w:trPr>
          <w:trHeight w:val="68"/>
        </w:trPr>
        <w:tc>
          <w:tcPr>
            <w:tcW w:w="140" w:type="dxa"/>
            <w:vAlign w:val="bottom"/>
          </w:tcPr>
          <w:p>
            <w:pPr>
              <w:spacing w:after="0"/>
              <w:rPr>
                <w:sz w:val="5"/>
                <w:szCs w:val="5"/>
                <w:color w:val="auto"/>
              </w:rPr>
            </w:pPr>
          </w:p>
        </w:tc>
        <w:tc>
          <w:tcPr>
            <w:tcW w:w="112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42" w:lineRule="exact"/>
        <w:rPr>
          <w:sz w:val="20"/>
          <w:szCs w:val="20"/>
          <w:color w:val="auto"/>
        </w:rPr>
      </w:pPr>
    </w:p>
    <w:p>
      <w:pPr>
        <w:sectPr>
          <w:pgSz w:w="11900" w:h="16838" w:orient="portrait"/>
          <w:cols w:equalWidth="0" w:num="2">
            <w:col w:w="3320" w:space="280"/>
            <w:col w:w="7060"/>
          </w:cols>
          <w:pgMar w:left="620" w:top="609" w:right="6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26"/>
          <w:szCs w:val="26"/>
          <w:color w:val="auto"/>
        </w:rPr>
        <w:t xml:space="preserve">Πρακτικές πληροφορίες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4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Ο θεματοφύλακας του Ταμείου είναι η State Street Custodial Services (Ireland)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Περισσότερες πληροφορίες σχετικά με το Ταμείο και την Κατηγορία Μετοχών διατίθενται από την τελευταία ετήσια έκθεση και τις εξαμηνιαίες εκθέσεις της iShares II plc.</w:t>
      </w:r>
      <w:r>
        <w:rPr xmlns:w="http://schemas.openxmlformats.org/wordprocessingml/2006/main">
          <w:rFonts w:ascii="Arial" w:cs="Arial" w:eastAsia="Arial" w:hAnsi="Arial"/>
          <w:sz w:val="14"/>
          <w:szCs w:val="14"/>
          <w:color w:val="auto"/>
        </w:rPr>
        <w:t xml:space="preserve"> Τα έγγραφα αυτά διατίθενται δωρεάν στα αγγλικά και σε ορισμένες άλλες γλώσσες.</w:t>
      </w:r>
      <w:r>
        <w:rPr xmlns:w="http://schemas.openxmlformats.org/wordprocessingml/2006/main">
          <w:rFonts w:ascii="Arial" w:cs="Arial" w:eastAsia="Arial" w:hAnsi="Arial"/>
          <w:sz w:val="14"/>
          <w:szCs w:val="14"/>
          <w:color w:val="auto"/>
        </w:rPr>
        <w:t xml:space="preserve"> Αυτά μπορούν να βρεθούν, μαζί με άλλες πληροφορίες, όπως λεπτομέρειες των βασικών υποκείμενων επενδύσεων της Κατηγορίας Μετοχών και των τιμών των μετοχών, στον ιστότοπο iShares στο www.ishares.com ή καλώντας το +44 (0)845 357 7000 ή από τον μεσίτη ή τον οικονομικό σύμβουλό σας.</w:t>
      </w:r>
      <w:r>
        <w:rPr xmlns:w="http://schemas.openxmlformats.org/wordprocessingml/2006/main">
          <w:rFonts w:ascii="Arial" w:cs="Arial" w:eastAsia="Arial" w:hAnsi="Arial"/>
          <w:sz w:val="14"/>
          <w:szCs w:val="14"/>
          <w:color w:val="auto"/>
        </w:rPr>
        <w:t xml:space="preserve"> Οι επενδυτές θα πρέπει να σημειώσουν ότι η φορολογική νομοθεσία που ισχύει για το Ταμείο και την Κατηγορία Μετοχών μπορεί να έχει αντίκτυπο στην προσωπική φορολογική θέση της επένδυσής σας.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-537210</wp:posOffset>
            </wp:positionV>
            <wp:extent cx="45720" cy="7747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a:extLst>
                        <a:ext uri="{28A0092B-C50C-407E-A947-70E740481C1C}"/>
                      </a:extLst>
                    </a:blip>
                    <a:srcRect/>
                    <a:stretch>
                      <a:fillRect/>
                    </a:stretch>
                  </pic:blipFill>
                  <pic:spPr bwMode="auto">
                    <a:xfrm>
                      <a:off x="0" y="0"/>
                      <a:ext cx="45720" cy="7747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-95250</wp:posOffset>
            </wp:positionV>
            <wp:extent cx="45720" cy="7747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28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Το Ταμείο είναι ένα επιμέρους κεφάλαιο της iShares II plc, μια κεντρική δομή που περιλαμβάνει διάφορα επιμέρους κεφάλαια.</w:t>
      </w:r>
      <w:r>
        <w:rPr xmlns:w="http://schemas.openxmlformats.org/wordprocessingml/2006/main">
          <w:rFonts w:ascii="Arial" w:cs="Arial" w:eastAsia="Arial" w:hAnsi="Arial"/>
          <w:sz w:val="14"/>
          <w:szCs w:val="14"/>
          <w:color w:val="auto"/>
        </w:rPr>
        <w:t xml:space="preserve"> Το Ταμείο έχει μία ή περισσότερες κατηγορίες μετοχών.</w:t>
      </w:r>
      <w:r>
        <w:rPr xmlns:w="http://schemas.openxmlformats.org/wordprocessingml/2006/main">
          <w:rFonts w:ascii="Arial" w:cs="Arial" w:eastAsia="Arial" w:hAnsi="Arial"/>
          <w:sz w:val="14"/>
          <w:szCs w:val="14"/>
          <w:color w:val="auto"/>
        </w:rPr>
        <w:t xml:space="preserve"> Το παρόν έγγραφο αφορά ειδικά το Ταμείο και την κατηγορία μετοχών που δηλώθηκε στην αρχή του παρόντος εγγράφου.</w:t>
      </w:r>
      <w:r>
        <w:rPr xmlns:w="http://schemas.openxmlformats.org/wordprocessingml/2006/main">
          <w:rFonts w:ascii="Arial" w:cs="Arial" w:eastAsia="Arial" w:hAnsi="Arial"/>
          <w:sz w:val="14"/>
          <w:szCs w:val="14"/>
          <w:color w:val="auto"/>
        </w:rPr>
        <w:t xml:space="preserve"> Ωστόσο, το ενημερωτικό δελτίο, οι ετήσιες και οι εξαμηνιαίες εκθέσεις συντάσσονται για το γενικό πλαίσιο.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4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Η iShares II plc μπορεί να θεωρηθεί υπεύθυνη μόνο βάσει οποιασδήποτε δήλωσης που περιέχεται στο παρόν έγγραφο η οποία είναι παραπλανητική, ανακριβής ή ασυνεπής με τα σχετικά μέρη του ενημερωτικού δελτίου του Ταμείου.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Η ενδεικτική ενδοημερήσια καθαρή αξία ενεργητικού της κατηγορίας μετοχών δημοσιεύεται στους σχετικούς δικτυακούς τόπους χρηματιστηρίων.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4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Σύμφωνα με το ιρλανδικό δίκαιο, η iShares II plc έχει χωριστή υποχρέωση μεταξύ των επιμέρους ταμείων της (δηλαδή τα στοιχεία ενεργητικού του Ταμείου δεν θα χρησιμοποιηθούν για την εκπλήρωση των υποχρεώσεων άλλων επιμέρους ταμείων εντός της iShares II plc).</w:t>
      </w:r>
      <w:r>
        <w:rPr xmlns:w="http://schemas.openxmlformats.org/wordprocessingml/2006/main">
          <w:rFonts w:ascii="Arial" w:cs="Arial" w:eastAsia="Arial" w:hAnsi="Arial"/>
          <w:sz w:val="15"/>
          <w:szCs w:val="15"/>
          <w:color w:val="auto"/>
        </w:rPr>
        <w:t xml:space="preserve"> </w:t>
      </w:r>
      <w:r>
        <w:rPr xmlns:w="http://schemas.openxmlformats.org/wordprocessingml/2006/main">
          <w:rFonts w:ascii="Arial" w:cs="Arial" w:eastAsia="Arial" w:hAnsi="Arial"/>
          <w:sz w:val="15"/>
          <w:szCs w:val="15"/>
          <w:color w:val="auto"/>
        </w:rPr>
        <w:t xml:space="preserve">Επιπλέον, τα στοιχεία του ενεργητικού του Ταμείου τηρούνται χωριστά από τα στοιχεία του ενεργητικού των λοιπών επιμέρους ταμείων.</w:t>
      </w:r>
      <w:r>
        <w:rPr xmlns:w="http://schemas.openxmlformats.org/wordprocessingml/2006/main">
          <w:rFonts w:ascii="Arial" w:cs="Arial" w:eastAsia="Arial" w:hAnsi="Arial"/>
          <w:sz w:val="15"/>
          <w:szCs w:val="15"/>
          <w:color w:val="auto"/>
        </w:rPr>
        <w:t xml:space="preserve"> Τα περιουσιακά στοιχεία και οι υποχρεώσεις που αφορούν συγκεκριμένη κατηγορία μετοχών θα μπορούσαν να αποδοθούν μόνο σε αυτήν την κατηγορία μετοχών, ωστόσο δεν υπάρχει διαχωρισμός των υποχρεώσεων μεταξύ κατηγοριών μετοχών σύμφωνα με το ιρλανδικό δίκαιο.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-389890</wp:posOffset>
            </wp:positionV>
            <wp:extent cx="45720" cy="7747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Η μεταβίβαση μετοχών μεταξύ του Ταμείου και άλλων υποκεφαλαίων στο πλαίσιο της iShares II plc δεν είναι διαθέσιμη στους επενδυτές.</w:t>
      </w:r>
      <w:r>
        <w:rPr xmlns:w="http://schemas.openxmlformats.org/wordprocessingml/2006/main">
          <w:rFonts w:ascii="Arial" w:cs="Arial" w:eastAsia="Arial" w:hAnsi="Arial"/>
          <w:sz w:val="16"/>
          <w:szCs w:val="16"/>
          <w:color w:val="auto"/>
        </w:rPr>
        <w:t xml:space="preserve"> Μόνο οι Εξουσιοδοτημένοι Συμμετέχοντες που συναλλάσσονται απευθείας με το Ταμείο μπορούν να αλλάζουν μετοχές μεταξύ κατηγοριών μετοχών του Ταμείου, υπό τον όρο ότι πληρούν ορισμένους όρους στο ενημερωτικό δελτίο του Ταμείου.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00"/>
        <w:spacing w:after="0" w:line="366" w:lineRule="auto"/>
        <w:rPr>
          <w:sz w:val="20"/>
          <w:szCs w:val="20"/>
          <w:color w:val="auto"/>
        </w:rPr>
      </w:pPr>
      <w:r>
        <w:rPr xmlns:w="http://schemas.openxmlformats.org/wordprocessingml/2006/main">
          <w:rFonts w:ascii="Arial" w:cs="Arial" w:eastAsia="Arial" w:hAnsi="Arial"/>
          <w:sz w:val="15"/>
          <w:szCs w:val="15"/>
          <w:color w:val="auto"/>
        </w:rPr>
        <w:t xml:space="preserve">Η Πολιτική Αποδοχών της Εταιρείας Διαχείρισης, η οποία περιγράφει τον τρόπο καθορισμού και χορήγησης των αποδοχών και των παροχών, καθώς και οι συναφείς ρυθμίσεις διακυβέρνησης, είναι διαθέσιμη στη διεύθυνση www.blackrock.com/Remunerationpolicy ή κατόπιν αιτήματος από την καταστατική έδρα της Εταιρείας Διαχείρισης.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5673090</wp:posOffset>
            </wp:positionH>
            <wp:positionV relativeFrom="paragraph">
              <wp:posOffset>2014855</wp:posOffset>
            </wp:positionV>
            <wp:extent cx="1097280" cy="4572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3">
                      <a:extLst>
                        <a:ext uri="{28A0092B-C50C-407E-A947-70E740481C1C}"/>
                      </a:extLst>
                    </a:blip>
                    <a:srcRect/>
                    <a:stretch>
                      <a:fillRect/>
                    </a:stretch>
                  </pic:blipFill>
                  <pic:spPr bwMode="auto">
                    <a:xfrm>
                      <a:off x="0" y="0"/>
                      <a:ext cx="1097280" cy="45720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-283210</wp:posOffset>
            </wp:positionV>
            <wp:extent cx="45720" cy="7747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7" w:lineRule="exact"/>
        <w:rPr>
          <w:sz w:val="20"/>
          <w:szCs w:val="20"/>
          <w:color w:val="auto"/>
        </w:rPr>
      </w:pPr>
    </w:p>
    <w:p>
      <w:pPr xmlns:w="http://schemas.openxmlformats.org/wordprocessingml/2006/main">
        <w:ind w:right="2740"/>
        <w:spacing w:after="0" w:line="325" w:lineRule="auto"/>
        <w:rPr>
          <w:sz w:val="20"/>
          <w:szCs w:val="20"/>
          <w:color w:val="auto"/>
        </w:rPr>
      </w:pPr>
      <w:r>
        <w:rPr xmlns:w="http://schemas.openxmlformats.org/wordprocessingml/2006/main">
          <w:rFonts w:ascii="Arial" w:cs="Arial" w:eastAsia="Arial" w:hAnsi="Arial"/>
          <w:sz w:val="14"/>
          <w:szCs w:val="14"/>
          <w:color w:val="auto"/>
        </w:rPr>
        <w:t xml:space="preserve">Το εν λόγω ταμείο και ο διαχειριστής του, BlackRock Asset Management Ireland Limited, έχουν λάβει άδεια λειτουργίας στην Ιρλανδία και διέπονται από τη νομοθεσία της Central Bank of Ireland.</w:t>
      </w:r>
      <w:r>
        <w:rPr xmlns:w="http://schemas.openxmlformats.org/wordprocessingml/2006/main">
          <w:rFonts w:ascii="Arial" w:cs="Arial" w:eastAsia="Arial" w:hAnsi="Arial"/>
          <w:sz w:val="14"/>
          <w:szCs w:val="14"/>
          <w:color w:val="auto"/>
        </w:rPr>
        <w:t xml:space="preserve"> Οι εν λόγω βασικές πληροφορίες για τους επενδυτές είναι ακριβείς στις 29 Ιανουαρίου 2024</w:t>
      </w:r>
    </w:p>
    <w:sectPr>
      <w:pgSz w:w="11900" w:h="16838" w:orient="portrait"/>
      <w:cols w:equalWidth="0" w:num="1">
        <w:col w:w="10660"/>
      </w:cols>
      <w:pgMar w:left="620" w:top="609" w:right="6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604DEB8"/>
    <w:multiLevelType w:val="hybridMultilevel"/>
    <w:lvl w:ilvl="0">
      <w:lvlJc w:val="left"/>
      <w:lvlText w:val="-"/>
      <w:numFmt w:val="bullet"/>
      <w:start w:val="1"/>
    </w:lvl>
  </w:abstractNum>
  <w:abstractNum w:abstractNumId="1">
    <w:nsid w:val="2075DD3A"/>
    <w:multiLevelType w:val="hybridMultilevel"/>
    <w:lvl w:ilvl="0">
      <w:lvlJc w:val="left"/>
      <w:lvlText w:val="-"/>
      <w:numFmt w:val="bullet"/>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png"/><Relationship Id="rId25" Type="http://schemas.openxmlformats.org/officeDocument/2006/relationships/image" Target="media/image14.png"/><Relationship Id="rId26" Type="http://schemas.openxmlformats.org/officeDocument/2006/relationships/image" Target="media/image15.jpe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 Id="rId39" Type="http://schemas.openxmlformats.org/officeDocument/2006/relationships/image" Target="media/image28.png"/><Relationship Id="rId40" Type="http://schemas.openxmlformats.org/officeDocument/2006/relationships/image" Target="media/image29.png"/><Relationship Id="rId41" Type="http://schemas.openxmlformats.org/officeDocument/2006/relationships/image" Target="media/image30.png"/><Relationship Id="rId42" Type="http://schemas.openxmlformats.org/officeDocument/2006/relationships/image" Target="media/image31.png"/><Relationship Id="rId43" Type="http://schemas.openxmlformats.org/officeDocument/2006/relationships/image" Target="media/image32.jpeg"/><Relationship Id="rId44" Type="http://schemas.openxmlformats.org/officeDocument/2006/relationships/image" Target="media/image33.png"/><Relationship Id="rId45" Type="http://schemas.openxmlformats.org/officeDocument/2006/relationships/image" Target="media/image34.png"/><Relationship Id="rId46" Type="http://schemas.openxmlformats.org/officeDocument/2006/relationships/image" Target="media/image35.png"/><Relationship Id="rId47" Type="http://schemas.openxmlformats.org/officeDocument/2006/relationships/image" Target="media/image36.png"/><Relationship Id="rId48" Type="http://schemas.openxmlformats.org/officeDocument/2006/relationships/image" Target="media/image37.png"/><Relationship Id="rId49" Type="http://schemas.openxmlformats.org/officeDocument/2006/relationships/image" Target="media/image38.png"/><Relationship Id="rId50" Type="http://schemas.openxmlformats.org/officeDocument/2006/relationships/image" Target="media/image39.png"/><Relationship Id="rId51" Type="http://schemas.openxmlformats.org/officeDocument/2006/relationships/image" Target="media/image40.png"/><Relationship Id="rId52" Type="http://schemas.openxmlformats.org/officeDocument/2006/relationships/image" Target="media/image41.png"/><Relationship Id="rId53" Type="http://schemas.openxmlformats.org/officeDocument/2006/relationships/image" Target="media/image42.jpeg"/><Relationship Id="rId54" Type="http://schemas.openxmlformats.org/officeDocument/2006/relationships/image" Target="media/image4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2024-05-20T15:38:00Z</dcterms:created>
  <dcterms:modified xsi:type="dcterms:W3CDTF">2024-05-20T15:38:00Z</dcterms:modified>
</cp:coreProperties>
</file>