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Wichtige Informationen für den Anleger</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Dieses Dokument enthält wichtige Informationen für den Anleger zu diesem Fonds.</w:t>
      </w:r>
      <w:r>
        <w:rPr xmlns:w="http://schemas.openxmlformats.org/wordprocessingml/2006/main">
          <w:rFonts w:ascii="Arial" w:cs="Arial" w:eastAsia="Arial" w:hAnsi="Arial"/>
          <w:sz w:val="15"/>
          <w:szCs w:val="15"/>
          <w:color w:val="auto"/>
        </w:rPr>
        <w:t xml:space="preserve"> Es ist kein Marketingmaterial.</w:t>
      </w:r>
      <w:r>
        <w:rPr xmlns:w="http://schemas.openxmlformats.org/wordprocessingml/2006/main">
          <w:rFonts w:ascii="Arial" w:cs="Arial" w:eastAsia="Arial" w:hAnsi="Arial"/>
          <w:sz w:val="15"/>
          <w:szCs w:val="15"/>
          <w:color w:val="auto"/>
        </w:rPr>
        <w:t xml:space="preserve"> Die Informationen sind gesetzlich vorgeschrieben, damit Sie die Art und die Risiken der Anlage in diesen Fonds verstehen können.</w:t>
      </w:r>
      <w:r>
        <w:rPr xmlns:w="http://schemas.openxmlformats.org/wordprocessingml/2006/main">
          <w:rFonts w:ascii="Arial" w:cs="Arial" w:eastAsia="Arial" w:hAnsi="Arial"/>
          <w:sz w:val="15"/>
          <w:szCs w:val="15"/>
          <w:color w:val="auto"/>
        </w:rPr>
        <w:t xml:space="preserve"> Es wird empfohlen, diese Informationen zu lesen, damit Sie eine fundierte Investitionsentscheidung treffen können.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43"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(der "Fonds")</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Ein Teilfonds von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Akkumulierend</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IE00BK5BQT80</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Manager: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43"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Ziele und Investitionspolitik</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Der Fonds verfolgt durch den physischen Erwerb von Wertpapieren einen passiven Management- oder Indexierungsansatz und versucht, die Wertentwicklung des FTSE All-World Index (der "Index") zu verfolgen.</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Der Index setzt sich aus Aktien großer und mittlerer Unternehmen in Industrie- und Schwellenländern zusammen.</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versucht,</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Nachverfolgung der Wertentwicklung des Index durch Anlage in eine repräsentative Stichprobe von Wertpapieren mit Indexbestandteilen.</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Vollständig investiert bleiben, außer in außergewöhnliche Marktbedingungen, politische oder ähnliche Bedingungen, bei denen der Fonds vorübergehend von dieser Anlagepolitik abweichen kann, um Verluste zu vermeiden.</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Der Fonds kann Derivate einsetzen, um Risiken oder Kosten zu verringern und/oder zusätzliche Einnahmen oder Wachstum zu generieren.</w:t>
      </w:r>
      <w:r>
        <w:rPr xmlns:w="http://schemas.openxmlformats.org/wordprocessingml/2006/main">
          <w:rFonts w:ascii="Arial" w:cs="Arial" w:eastAsia="Arial" w:hAnsi="Arial"/>
          <w:sz w:val="16"/>
          <w:szCs w:val="16"/>
          <w:color w:val="231F20"/>
        </w:rPr>
        <w:t xml:space="preserve"> Ein Derivat ist ein Finanzkontrakt, dessen Wert auf dem Wert eines finanziellen Vermögenswerts (wie einer Aktie, einer Anleihe oder einer Währung) oder einem Marktindex basiert.</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Basiswährung des Fonds ist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kann kurzfristige besicherte Darlehen für seine Anlagen an bestimmte berechtigte Dritte vergeben.</w:t>
      </w:r>
      <w:r>
        <w:rPr xmlns:w="http://schemas.openxmlformats.org/wordprocessingml/2006/main">
          <w:rFonts w:ascii="Arial" w:cs="Arial" w:eastAsia="Arial" w:hAnsi="Arial"/>
          <w:sz w:val="16"/>
          <w:szCs w:val="16"/>
          <w:color w:val="231F20"/>
        </w:rPr>
        <w:t xml:space="preserve"> Dies dient als Mittel zur Erzielung zusätzlicher Einnahmen und zum Ausgleich der Kosten des Fonds.</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ist möglicherweise nicht für kurzfristige Investitionen geeignet.</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Diese Anteilsklasse ist eine akkumulierende Anteilsklasse, und die Directors beabsichtigen nicht, eine Dividende zu deklarieren.</w:t>
      </w:r>
      <w:r>
        <w:rPr xmlns:w="http://schemas.openxmlformats.org/wordprocessingml/2006/main">
          <w:rFonts w:ascii="Arial" w:cs="Arial" w:eastAsia="Arial" w:hAnsi="Arial"/>
          <w:sz w:val="16"/>
          <w:szCs w:val="16"/>
          <w:color w:val="231F20"/>
        </w:rPr>
        <w:t xml:space="preserve"> Die Erträge werden reinvestiert und fließen in den Kurs der Fondsanteile.</w:t>
      </w: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ETF-Aktien sind an einer oder mehreren Börsen notiert.</w:t>
      </w:r>
      <w:r>
        <w:rPr xmlns:w="http://schemas.openxmlformats.org/wordprocessingml/2006/main">
          <w:rFonts w:ascii="Arial" w:cs="Arial" w:eastAsia="Arial" w:hAnsi="Arial"/>
          <w:sz w:val="16"/>
          <w:szCs w:val="16"/>
          <w:color w:val="231F20"/>
        </w:rPr>
        <w:t xml:space="preserve"> Vorbehaltlich bestimmter im Prospekt festgelegter Ausnahmen dürfen Anleger, die keine zugelassenen Teilnehmer sind, ETF-Aktien nur über ein Unternehmen verkaufen, das Mitglied einer relevanten Börse ist, und zwar zu jedem Zeitpunkt, zu dem diese Börse für Geschäfte geöffnet ist.</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Portfoliotransaktionskosten werden sich auf die Performance auswirken.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line="255" w:lineRule="auto"/>
        <w:tabs>
          <w:tab w:leader="none" w:pos="140" w:val="left"/>
        </w:tabs>
        <w:numPr>
          <w:ilvl w:val="0"/>
          <w:numId w:val="7"/>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Die Fondsanteile können täglich (außer an bestimmten Feiertagen oder Feiertagen und unter bestimmten, in der Beilage beschriebenen Einschränkungen) durch schriftliche oder telefonische Antragstellung gekauft oder verkauft werden.</w:t>
      </w:r>
      <w:r>
        <w:rPr xmlns:w="http://schemas.openxmlformats.org/wordprocessingml/2006/main">
          <w:rFonts w:ascii="Arial" w:cs="Arial" w:eastAsia="Arial" w:hAnsi="Arial"/>
          <w:sz w:val="14"/>
          <w:szCs w:val="14"/>
          <w:color w:val="231F20"/>
        </w:rPr>
        <w:t xml:space="preserve"> Eine Liste der Tage, an denen Anteile des Fonds nicht gekauft oder verkauft werden können, ist unter https://global.vanguard.com/portal/site/loadPDF?country=global&amp;docId=11628 verfügbar</w:t>
      </w:r>
    </w:p>
    <w:p>
      <w:pPr>
        <w:spacing w:after="0" w:line="159"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über die Ziele und Anlagepolitik des Fonds sowie die eingeschränkte Beziehung zum Indexanbieter finden Sie in Anhang 1 und Anhang 6 des Prospekts von Vanguard Funds plc (im Folgenden "Prospekt")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2299970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81.1pt" to="267pt,181.1pt" o:allowincell="f" strokecolor="#231F20" strokeweight="0.4pt"/>
            </w:pict>
          </mc:Fallback>
        </mc:AlternateContent>
      </w:r>
    </w:p>
    <w:p>
      <w:pPr>
        <w:spacing w:after="0" w:line="3536" w:lineRule="exact"/>
        <w:rPr>
          <w:sz w:val="24"/>
          <w:szCs w:val="24"/>
          <w:color w:val="auto"/>
        </w:rPr>
      </w:pPr>
    </w:p>
    <w:p>
      <w:pPr>
        <w:sectPr>
          <w:pgSz w:w="11900" w:h="16843" w:orient="portrait"/>
          <w:cols w:equalWidth="0" w:num="2">
            <w:col w:w="5200" w:space="240"/>
            <w:col w:w="5200"/>
          </w:cols>
          <w:pgMar w:left="560" w:top="969" w:right="700" w:bottom="0" w:gutter="0" w:footer="0" w:header="0"/>
          <w:type w:val="continuous"/>
        </w:sectPr>
      </w:pPr>
    </w:p>
    <w:p>
      <w:pPr>
        <w:spacing w:after="0" w:line="1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Risiko- und Ertragsprofil</w:t>
      </w: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Geringeres Risiko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Höheres Risiko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Üblicherweise geringere Belohnungen</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Üblicherweise höhere Belohnungen</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Dieser Indikator basiert auf historischen Daten und ist möglicherweise kein zuverlässiger Indikator für das künftige Risikoprofil des Fonds.</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dargestellte Risikokategorie ist nicht garantiert und kann sich im Laufe der Zeit ändern.</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unterste Kategorie bedeutet nicht "risikofrei".</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Der Fonds wird aufgrund der Art seiner Anlagen, die die nachstehend aufgeführten Risiken beinhalten, mit 6 bewertet.</w:t>
      </w:r>
      <w:r>
        <w:rPr xmlns:w="http://schemas.openxmlformats.org/wordprocessingml/2006/main">
          <w:rFonts w:ascii="Arial" w:cs="Arial" w:eastAsia="Arial" w:hAnsi="Arial"/>
          <w:sz w:val="16"/>
          <w:szCs w:val="16"/>
          <w:color w:val="231F20"/>
        </w:rPr>
        <w:t xml:space="preserve"> Diese Faktoren können sich auf den Wert der Kapitalanlagen des Fonds auswirken oder ihn Verlusten aussetzen.</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0"/>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Der Wert von Aktien und aktienbezogenen Wertpapieren kann durch tägliche Börsenbewegungen beeinflusst werden.</w:t>
      </w:r>
      <w:r>
        <w:rPr xmlns:w="http://schemas.openxmlformats.org/wordprocessingml/2006/main">
          <w:rFonts w:ascii="Arial" w:cs="Arial" w:eastAsia="Arial" w:hAnsi="Arial"/>
          <w:sz w:val="15"/>
          <w:szCs w:val="15"/>
          <w:color w:val="231F20"/>
        </w:rPr>
        <w:t xml:space="preserve"> Weitere einflussreiche Faktoren sind politische, wirtschaftliche Nachrichten, Unternehmenserträge und bedeutende Unternehmensereignisse.</w:t>
      </w:r>
    </w:p>
    <w:p>
      <w:pPr xmlns:w="http://schemas.openxmlformats.org/wordprocessingml/2006/main">
        <w:jc w:val="both"/>
        <w:ind w:left="140"/>
        <w:spacing w:after="0" w:line="221" w:lineRule="auto"/>
        <w:tabs>
          <w:tab w:leader="none" w:pos="22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Schwellenmärkte reagieren in der Regel sensibler auf wirtschaftliche und politische Bedingungen als entwickelte Märkte.</w:t>
      </w:r>
      <w:r>
        <w:rPr xmlns:w="http://schemas.openxmlformats.org/wordprocessingml/2006/main">
          <w:rFonts w:ascii="Arial" w:cs="Arial" w:eastAsia="Arial" w:hAnsi="Arial"/>
          <w:sz w:val="16"/>
          <w:szCs w:val="16"/>
          <w:color w:val="231F20"/>
        </w:rPr>
        <w:t xml:space="preserve"> Weitere Faktoren sind ein höheres "Liquiditätsrisiko", Beschränkungen für Investitionen oder Vermögensübertragungen und fehlgeschlagene/verzögerte Lieferung von Wertpapieren oder Zahlungen an den Fonds.</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Das Anlagerisiko konzentriert sich auf bestimmte Sektoren, Länder, Währungen oder Unternehmen.</w:t>
      </w:r>
      <w:r>
        <w:rPr xmlns:w="http://schemas.openxmlformats.org/wordprocessingml/2006/main">
          <w:rFonts w:ascii="Arial" w:cs="Arial" w:eastAsia="Arial" w:hAnsi="Arial"/>
          <w:sz w:val="16"/>
          <w:szCs w:val="16"/>
          <w:color w:val="231F20"/>
        </w:rPr>
        <w:t xml:space="preserve"> Dies bedeutet, dass der Fonds sensibler auf lokale wirtschaftliche, marktbezogene, politische oder regulatorische Ereignisse reagiert.</w:t>
      </w:r>
    </w:p>
    <w:p>
      <w:pPr xmlns:w="http://schemas.openxmlformats.org/wordprocessingml/2006/main">
        <w:jc w:val="both"/>
        <w:ind w:left="140"/>
        <w:spacing w:after="0" w:line="226" w:lineRule="auto"/>
        <w:tabs>
          <w:tab w:leader="none" w:pos="26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Verwendung von Derivaten.</w:t>
      </w:r>
      <w:r>
        <w:rPr xmlns:w="http://schemas.openxmlformats.org/wordprocessingml/2006/main">
          <w:rFonts w:ascii="Arial" w:cs="Arial" w:eastAsia="Arial" w:hAnsi="Arial"/>
          <w:sz w:val="16"/>
          <w:szCs w:val="16"/>
          <w:color w:val="231F20"/>
        </w:rPr>
        <w:t xml:space="preserve"> Die Verwendung von Derivaten könnte das Risiko, dem die zugrunde liegenden Vermögenswerte ausgesetzt sind, erhöhen oder verringern und zu größeren Schwankungen des Nettoinventarwerts des Fonds führen.</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Der Risiko-Rendite-Indikator berücksichtigt nicht die folgenden Risiken von Investitionen in den Fonds:</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Gegenparteirisiko.</w:t>
      </w:r>
      <w:r>
        <w:rPr xmlns:w="http://schemas.openxmlformats.org/wordprocessingml/2006/main">
          <w:rFonts w:ascii="Arial" w:cs="Arial" w:eastAsia="Arial" w:hAnsi="Arial"/>
          <w:sz w:val="16"/>
          <w:szCs w:val="16"/>
          <w:color w:val="231F20"/>
        </w:rPr>
        <w:t xml:space="preserve"> Die Insolvenz von Instituten, die Dienstleistungen wie die Verwahrung von Vermögenswerten erbringen oder als Gegenpartei für Derivate oder andere Instrumente auftreten, kann den Fonds finanziellen Verlusten aussetzen.</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Liquiditätsrisiko.</w:t>
      </w:r>
      <w:r>
        <w:rPr xmlns:w="http://schemas.openxmlformats.org/wordprocessingml/2006/main">
          <w:rFonts w:ascii="Arial" w:cs="Arial" w:eastAsia="Arial" w:hAnsi="Arial"/>
          <w:sz w:val="16"/>
          <w:szCs w:val="16"/>
          <w:color w:val="231F20"/>
        </w:rPr>
        <w:t xml:space="preserve"> Niedrigere Liquidität bedeutet, dass es nicht genügend Käufer oder Verkäufer gibt, um es dem Fonds zu ermöglichen, Anlagen ohne Weiteres zu verkaufen oder zu kaufen, was dazu führen könnte, dass dem Fonds beim Kauf oder Verkauf von Anlagen höhere Kosten entstehen oder dass der Fonds nicht in der Lage ist, Anlagen zu kaufen oder zu verkaufen, wenn er dies möchte.</w:t>
      </w:r>
    </w:p>
    <w:p>
      <w:pPr>
        <w:spacing w:after="0" w:line="3" w:lineRule="exact"/>
        <w:rPr>
          <w:sz w:val="24"/>
          <w:szCs w:val="24"/>
          <w:color w:val="auto"/>
        </w:rPr>
      </w:pPr>
    </w:p>
    <w:p>
      <w:pPr xmlns:w="http://schemas.openxmlformats.org/wordprocessingml/2006/main">
        <w:jc w:val="both"/>
        <w:ind w:left="140" w:hanging="140"/>
        <w:spacing w:after="0" w:line="221"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Index-Tracking-Risiko.</w:t>
      </w:r>
      <w:r>
        <w:rPr xmlns:w="http://schemas.openxmlformats.org/wordprocessingml/2006/main">
          <w:rFonts w:ascii="Arial" w:cs="Arial" w:eastAsia="Arial" w:hAnsi="Arial"/>
          <w:sz w:val="16"/>
          <w:szCs w:val="16"/>
          <w:color w:val="231F20"/>
        </w:rPr>
        <w:t xml:space="preserve"> Es wird nicht erwartet, dass der Fonds die Wertentwicklung des Index jederzeit mit absoluter Genauigkeit verfolgt.</w:t>
      </w:r>
      <w:r>
        <w:rPr xmlns:w="http://schemas.openxmlformats.org/wordprocessingml/2006/main">
          <w:rFonts w:ascii="Arial" w:cs="Arial" w:eastAsia="Arial" w:hAnsi="Arial"/>
          <w:sz w:val="16"/>
          <w:szCs w:val="16"/>
          <w:color w:val="231F20"/>
        </w:rPr>
        <w:t xml:space="preserve"> Der Fonds soll jedoch Anlageergebnisse liefern, die vor Aufwendungen im Allgemeinen der Preis- und Renditeentwicklung des Index entsprechen.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8" w:lineRule="exact"/>
        <w:rPr>
          <w:sz w:val="24"/>
          <w:szCs w:val="24"/>
          <w:color w:val="auto"/>
        </w:rPr>
      </w:pPr>
    </w:p>
    <w:p>
      <w:pPr xmlns:w="http://schemas.openxmlformats.org/wordprocessingml/2006/main">
        <w:jc w:val="both"/>
        <w:ind w:left="140" w:hanging="139"/>
        <w:spacing w:after="0" w:line="227" w:lineRule="auto"/>
        <w:rPr>
          <w:sz w:val="20"/>
          <w:szCs w:val="20"/>
          <w:color w:val="auto"/>
        </w:rPr>
      </w:pPr>
      <w:r>
        <w:rPr xmlns:w="http://schemas.openxmlformats.org/wordprocessingml/2006/main">
          <w:rFonts w:ascii="Arial" w:cs="Arial" w:eastAsia="Arial" w:hAnsi="Arial"/>
          <w:sz w:val="16"/>
          <w:szCs w:val="16"/>
          <w:color w:val="231F20"/>
        </w:rPr>
        <w:t xml:space="preserve">2 Index-Stichprobenrisiko.</w:t>
      </w:r>
      <w:r>
        <w:rPr xmlns:w="http://schemas.openxmlformats.org/wordprocessingml/2006/main">
          <w:rFonts w:ascii="Arial" w:cs="Arial" w:eastAsia="Arial" w:hAnsi="Arial"/>
          <w:sz w:val="16"/>
          <w:szCs w:val="16"/>
          <w:color w:val="231F20"/>
        </w:rPr>
        <w:t xml:space="preserve"> Da der Fonds ein Indexstichprobenverfahren anwendet, bei dem eine repräsentative Stichprobe von Wertpapieren ausgewählt wird, um den Index darzustellen, besteht das Risiko, dass die für den Fonds ausgewählten Wertpapiere in ihrer Gesamtheit dem vollen Index nicht angenähert werden.</w:t>
      </w: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zu Risiken finden Sie im Abschnitt "Risikofaktoren" des Prospekts auf unserer Website unter</w:t>
      </w:r>
      <w:r>
        <w:rPr xmlns:w="http://schemas.openxmlformats.org/wordprocessingml/2006/main">
          <w:rFonts w:ascii="Arial" w:cs="Arial" w:eastAsia="Arial" w:hAnsi="Arial"/>
          <w:sz w:val="15"/>
          <w:szCs w:val="15"/>
          <w:color w:val="231F20"/>
        </w:rPr>
        <w:t xml:space="preserve"> https://global.vanguard.com</w:t>
      </w:r>
    </w:p>
    <w:p>
      <w:pPr>
        <w:sectPr>
          <w:pgSz w:w="11900" w:h="16843"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Kosten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Die von Ihnen gezahlten Gebühren werden zur Deckung der Kosten für den Betrieb des Fonds verwendet, einschließlich der Kosten für Marketing und Vertrieb.</w:t>
      </w:r>
      <w:r>
        <w:rPr xmlns:w="http://schemas.openxmlformats.org/wordprocessingml/2006/main">
          <w:rFonts w:ascii="Arial" w:cs="Arial" w:eastAsia="Arial" w:hAnsi="Arial"/>
          <w:sz w:val="16"/>
          <w:szCs w:val="16"/>
          <w:color w:val="231F20"/>
        </w:rPr>
        <w:t xml:space="preserve"> Diese Gebühren reduzieren das potenzielle Wachstum Ihrer Investition.</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Einmalige Kosten, die vor oder nach der Investition anfallen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Eintrittsgebühr*</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Ausreisegebühr*</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Dies ist das Maximum, das aus Ihrem Geld genommen werden kann, bevor es investiert wird / bevor der Erlös Ihrer Investition ausgezahlt wird.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Über ein Jahr aus dem Fonds übernommene Belastungen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Laufende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Vom Fonds unter bestimmten Voraussetzungen entrichtete Gebühren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Leistungsgebühr</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Anleger, die keine Authorized Participants ("APs") sind, müssen möglicherweise Gebühren an einen Börsenmakler zahlen, wenn Sie an der Börse(n) kaufen oder verkaufen.</w:t>
      </w:r>
      <w:r>
        <w:rPr xmlns:w="http://schemas.openxmlformats.org/wordprocessingml/2006/main">
          <w:rFonts w:ascii="Arial" w:cs="Arial" w:eastAsia="Arial" w:hAnsi="Arial"/>
          <w:sz w:val="16"/>
          <w:szCs w:val="16"/>
          <w:color w:val="231F20"/>
        </w:rPr>
        <w:t xml:space="preserve"> Die Gebühren sind direkt von Ihrem Börsenmakler erhältlich und werden nicht vom Fonds erhoben oder an ihn zahlbar.</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angezeigten Ein- und Ausreisegebühren sind Höchstbeträge und in einigen Fällen können Sie weniger bezahlen.</w:t>
      </w:r>
      <w:r>
        <w:rPr xmlns:w="http://schemas.openxmlformats.org/wordprocessingml/2006/main">
          <w:rFonts w:ascii="Arial" w:cs="Arial" w:eastAsia="Arial" w:hAnsi="Arial"/>
          <w:sz w:val="16"/>
          <w:szCs w:val="16"/>
          <w:color w:val="231F20"/>
        </w:rPr>
        <w:t xml:space="preserve"> Die Anleger können sich über die tatsächlichen Ein- und Ausstiegsgebühren bei ihrem Händler und/oder Berater informieren.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direkt mit dem Fonds zu tun haben, zahlen die damit verbundenen Transaktionskosten.</w:t>
      </w:r>
      <w:r>
        <w:rPr xmlns:w="http://schemas.openxmlformats.org/wordprocessingml/2006/main">
          <w:rFonts w:ascii="Arial" w:cs="Arial" w:eastAsia="Arial" w:hAnsi="Arial"/>
          <w:sz w:val="15"/>
          <w:szCs w:val="15"/>
          <w:color w:val="231F20"/>
        </w:rPr>
        <w:t xml:space="preserve"> Für Geldschöpfungen oder -rückzahlungen kann eine Bartransaktionsgebühr von maximal 2 % anfallen, die an den Fonds gezahlt wird, und alle Transaktionen werden mit Transaktionskosten verbunden sein.</w:t>
      </w:r>
      <w:r>
        <w:rPr xmlns:w="http://schemas.openxmlformats.org/wordprocessingml/2006/main">
          <w:rFonts w:ascii="Arial" w:cs="Arial" w:eastAsia="Arial" w:hAnsi="Arial"/>
          <w:sz w:val="15"/>
          <w:szCs w:val="15"/>
          <w:color w:val="231F20"/>
        </w:rPr>
        <w:t xml:space="preserve"> Anleger, die keine APs sind, zahlen diese Gebühren oder Kosten nicht.</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Im Falle einer umfangreichen Zeichnung oder Rücknahme durch einen Anleger muss dieser unter Umständen eine zusätzliche Gebühr (z. B. eine Anti-Verwässerungsabgabe) an den Fonds zahlen, um die entstandenen Transaktionskosten zu decken.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laufenden Kosten basieren auf Aufwendungen für das am 31. Dezember 2022 endende Jahr.</w:t>
      </w:r>
      <w:r>
        <w:rPr xmlns:w="http://schemas.openxmlformats.org/wordprocessingml/2006/main">
          <w:rFonts w:ascii="Arial" w:cs="Arial" w:eastAsia="Arial" w:hAnsi="Arial"/>
          <w:sz w:val="16"/>
          <w:szCs w:val="16"/>
          <w:color w:val="231F20"/>
        </w:rPr>
        <w:t xml:space="preserve"> Diese Zahl kann von Jahr zu Jahr variieren.</w:t>
      </w:r>
      <w:r>
        <w:rPr xmlns:w="http://schemas.openxmlformats.org/wordprocessingml/2006/main">
          <w:rFonts w:ascii="Arial" w:cs="Arial" w:eastAsia="Arial" w:hAnsi="Arial"/>
          <w:sz w:val="16"/>
          <w:szCs w:val="16"/>
          <w:color w:val="231F20"/>
        </w:rPr>
        <w:t xml:space="preserve"> Die Portfoliotransaktionskosten werden nicht berücksichtigt.</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zu den Gebühren finden Sie im Prospekt und in den Abschnitten "Kauf von Aktien", "Rücknahme von Aktien", "Gebühren und Aufwendungen" sowie in Anhang 1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Bisherige Ergebnisse</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Leistung in der Vergangenheit: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Ist kein zuverlässiger Indikator für die zukünftige Leistung.</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Umfasst laufende Aufwendungen und die Reinvestition von Erträgen.</w:t>
      </w:r>
      <w:r>
        <w:rPr xmlns:w="http://schemas.openxmlformats.org/wordprocessingml/2006/main">
          <w:rFonts w:ascii="Arial" w:cs="Arial" w:eastAsia="Arial" w:hAnsi="Arial"/>
          <w:sz w:val="16"/>
          <w:szCs w:val="16"/>
          <w:color w:val="231F20"/>
        </w:rPr>
        <w:t xml:space="preserve"> Nicht enthalten sind die Ein- und Ausreisegebühren.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Wurde in USD berechnet.</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Aktien des Fonds wurden erstmals 2012 ausgegeben.</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Diese Aktienkurse wurde 2019 eingeführt.</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Prozent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Geldmittel</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Inhaltsverzeichnis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Informationen</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Verwahrstelle:</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Dokumente, Kurse von Aktien und weitere Informationen:</w:t>
      </w:r>
      <w:r>
        <w:rPr xmlns:w="http://schemas.openxmlformats.org/wordprocessingml/2006/main">
          <w:rFonts w:ascii="Arial" w:cs="Arial" w:eastAsia="Arial" w:hAnsi="Arial"/>
          <w:sz w:val="16"/>
          <w:szCs w:val="16"/>
          <w:color w:val="231F20"/>
        </w:rPr>
        <w:t xml:space="preserve"> Sie können Kopien des Prospekts und des neuesten Jahres- und Halbjahresberichts und Abschlusses für Vanguard Funds plc ("VF") sowie die neuesten veröffentlichten Kurse von Aktien und andere praktische Informationen von VF c/o Brown Brothers Harriman Fund Administration Services (Ireland) Limited, 30 Herbert Street, Dublin 2, D02 W329, Irland oder von unserer Website unter https://global.vanguard.com erhalten.</w:t>
      </w:r>
      <w:r>
        <w:rPr xmlns:w="http://schemas.openxmlformats.org/wordprocessingml/2006/main">
          <w:rFonts w:ascii="Arial" w:cs="Arial" w:eastAsia="Arial" w:hAnsi="Arial"/>
          <w:sz w:val="16"/>
          <w:szCs w:val="16"/>
          <w:color w:val="231F20"/>
        </w:rPr>
        <w:t xml:space="preserve"> Informationen über die Offenlegungspolitik des Fonds und die Veröffentlichung des iNAV können unter https://global.vanguard.com/portal/site/portal/ucits-documentation abgerufen werden.</w:t>
      </w:r>
      <w:r>
        <w:rPr xmlns:w="http://schemas.openxmlformats.org/wordprocessingml/2006/main">
          <w:rFonts w:ascii="Arial" w:cs="Arial" w:eastAsia="Arial" w:hAnsi="Arial"/>
          <w:sz w:val="16"/>
          <w:szCs w:val="16"/>
          <w:color w:val="231F20"/>
        </w:rPr>
        <w:t xml:space="preserve"> Die Dokumente sind in englischer Sprache verfügbar und kostenlos.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Kurse:</w:t>
      </w:r>
      <w:r>
        <w:rPr xmlns:w="http://schemas.openxmlformats.org/wordprocessingml/2006/main">
          <w:rFonts w:ascii="Arial" w:cs="Arial" w:eastAsia="Arial" w:hAnsi="Arial"/>
          <w:sz w:val="16"/>
          <w:szCs w:val="16"/>
          <w:color w:val="231F20"/>
        </w:rPr>
        <w:t xml:space="preserve"> Die zuletzt veröffentlichten Kurse der Fondsanteile sind auch auf der Website der FT unter www.ft.com oder https://global.vanguard.com abrufbar.</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Steuern:</w:t>
      </w:r>
      <w:r>
        <w:rPr xmlns:w="http://schemas.openxmlformats.org/wordprocessingml/2006/main">
          <w:rFonts w:ascii="Arial" w:cs="Arial" w:eastAsia="Arial" w:hAnsi="Arial"/>
          <w:sz w:val="16"/>
          <w:szCs w:val="16"/>
          <w:color w:val="231F20"/>
        </w:rPr>
        <w:t xml:space="preserve"> VF unterliegt den irischen Steuergesetzen.</w:t>
      </w:r>
      <w:r>
        <w:rPr xmlns:w="http://schemas.openxmlformats.org/wordprocessingml/2006/main">
          <w:rFonts w:ascii="Arial" w:cs="Arial" w:eastAsia="Arial" w:hAnsi="Arial"/>
          <w:sz w:val="16"/>
          <w:szCs w:val="16"/>
          <w:color w:val="231F20"/>
        </w:rPr>
        <w:t xml:space="preserve"> Je nach Land Ihres Wohnsitzes kann dies Auswirkungen auf Ihre persönliche Steuersituation haben.</w:t>
      </w:r>
      <w:r>
        <w:rPr xmlns:w="http://schemas.openxmlformats.org/wordprocessingml/2006/main">
          <w:rFonts w:ascii="Arial" w:cs="Arial" w:eastAsia="Arial" w:hAnsi="Arial"/>
          <w:sz w:val="16"/>
          <w:szCs w:val="16"/>
          <w:color w:val="231F20"/>
        </w:rPr>
        <w:t xml:space="preserve"> Es wird empfohlen, sich an Ihren Steuerberater zu wenden.</w:t>
      </w:r>
    </w:p>
    <w:p>
      <w:pPr xmlns:w="http://schemas.openxmlformats.org/wordprocessingml/2006/main">
        <w:ind w:left="159" w:hanging="140"/>
        <w:spacing w:after="0" w:line="234"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Haftung:</w:t>
      </w:r>
      <w:r>
        <w:rPr xmlns:w="http://schemas.openxmlformats.org/wordprocessingml/2006/main">
          <w:rFonts w:ascii="Arial" w:cs="Arial" w:eastAsia="Arial" w:hAnsi="Arial"/>
          <w:sz w:val="16"/>
          <w:szCs w:val="16"/>
          <w:color w:val="231F20"/>
        </w:rPr>
        <w:t xml:space="preserve"> VGIL kann allein auf der Grundlage einer in diesem Dokument enthaltenen Aussage, die irreführend, ungenau oder inkonsistent mit den relevanten Teilen des Prospekts für VF ist, haftbar gemacht werden.</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Teilfonds</w:t>
      </w:r>
      <w:r>
        <w:rPr xmlns:w="http://schemas.openxmlformats.org/wordprocessingml/2006/main">
          <w:rFonts w:ascii="Arial" w:cs="Arial" w:eastAsia="Arial" w:hAnsi="Arial"/>
          <w:sz w:val="16"/>
          <w:szCs w:val="16"/>
          <w:color w:val="231F20"/>
        </w:rPr>
        <w:t xml:space="preserve">: Der VF ist ein Dachfonds mit einer Reihe von Teilfonds.</w:t>
      </w:r>
      <w:r>
        <w:rPr xmlns:w="http://schemas.openxmlformats.org/wordprocessingml/2006/main">
          <w:rFonts w:ascii="Arial" w:cs="Arial" w:eastAsia="Arial" w:hAnsi="Arial"/>
          <w:sz w:val="16"/>
          <w:szCs w:val="16"/>
          <w:color w:val="231F20"/>
        </w:rPr>
        <w:t xml:space="preserve"> Dieses Dokument beschreibt einen Teilfonds von VF.</w:t>
      </w:r>
      <w:r>
        <w:rPr xmlns:w="http://schemas.openxmlformats.org/wordprocessingml/2006/main">
          <w:rFonts w:ascii="Arial" w:cs="Arial" w:eastAsia="Arial" w:hAnsi="Arial"/>
          <w:sz w:val="16"/>
          <w:szCs w:val="16"/>
          <w:color w:val="231F20"/>
        </w:rPr>
        <w:t xml:space="preserve"> Der Prospekt und die periodischen Berichte werden für das gesamte Unternehmen erstellt.</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ist ein Dachfonds mit getrennter Haftung zwischen Teilfonds.</w:t>
      </w:r>
      <w:r>
        <w:rPr xmlns:w="http://schemas.openxmlformats.org/wordprocessingml/2006/main">
          <w:rFonts w:ascii="Arial" w:cs="Arial" w:eastAsia="Arial" w:hAnsi="Arial"/>
          <w:sz w:val="16"/>
          <w:szCs w:val="16"/>
          <w:color w:val="231F20"/>
        </w:rPr>
        <w:t xml:space="preserve"> Dies bedeutet, dass die Bestände des Fonds nach irischem Recht getrennt von den Beständen anderer Unterfonds von VF gehalten werden und Ihre Investition in den Fonds durch Ansprüche gegen andere Unterfonds von VF nicht beeinträchtigt wird.</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Aktien:</w:t>
      </w:r>
      <w:r>
        <w:rPr xmlns:w="http://schemas.openxmlformats.org/wordprocessingml/2006/main">
          <w:rFonts w:ascii="Arial" w:cs="Arial" w:eastAsia="Arial" w:hAnsi="Arial"/>
          <w:sz w:val="16"/>
          <w:szCs w:val="16"/>
          <w:color w:val="231F20"/>
        </w:rPr>
        <w:t xml:space="preserve"> ETF-Aktien des Fonds dürfen nicht gegen ETF-Aktien anderer Teilfonds des VF getauscht werden, jedoch können die Altersversorgungssysteme mit vorheriger Genehmigung die ETF-Aktien des Fonds in eine andere Anteilsklasse desselben Fonds umwandeln, wenn andere Anteilsklassen verfügbar sind.</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Informationen zu anderen von VF angebotenen Aktienkursen finden Sie im Prospekt oder auf unserer Website unter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Vergütungspolitik:</w:t>
      </w:r>
      <w:r>
        <w:rPr xmlns:w="http://schemas.openxmlformats.org/wordprocessingml/2006/main">
          <w:rFonts w:ascii="Arial" w:cs="Arial" w:eastAsia="Arial" w:hAnsi="Arial"/>
          <w:sz w:val="13"/>
          <w:szCs w:val="13"/>
          <w:color w:val="231F20"/>
        </w:rPr>
        <w:t xml:space="preserve"> Details zur Vergütungspolitik der VGIL finden Sie unter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a) eine Beschreibung, wie die Vergütung und die Leistungen berechnet werden, und b) die Identität der für die Gewährung der Vergütung zuständigen Personen und</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Vorteile.</w:t>
      </w:r>
      <w:r>
        <w:rPr xmlns:w="http://schemas.openxmlformats.org/wordprocessingml/2006/main">
          <w:rFonts w:ascii="Arial" w:cs="Arial" w:eastAsia="Arial" w:hAnsi="Arial"/>
          <w:sz w:val="16"/>
          <w:szCs w:val="16"/>
          <w:color w:val="231F20"/>
        </w:rPr>
        <w:t xml:space="preserve"> Eine Kopie dieser Angaben in Papierform ist auf Anfrage bei VGIL at 70 Sir John Rogerson's Quay, Dublin 2, Ireland, kostenlos erhältlich.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Der Fonds ist in Irland zugelassen und wird von der irischen Zentralbank (der "Zentralbank") reguliert.</w:t>
      </w:r>
      <w:r>
        <w:rPr xmlns:w="http://schemas.openxmlformats.org/wordprocessingml/2006/main">
          <w:rFonts w:ascii="Arial" w:cs="Arial" w:eastAsia="Arial" w:hAnsi="Arial"/>
          <w:sz w:val="16"/>
          <w:szCs w:val="16"/>
          <w:color w:val="231F20"/>
        </w:rPr>
        <w:t xml:space="preserve"> Die VGIL ist in Irland zugelassen und wird von der Zentralbank reguliert. Diese wichtigen Informationen für den Anleger sind zum 17/02/2023 korrekt.</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AB5FFF6"/>
    <w:multiLevelType w:val="hybridMultilevel"/>
    <w:lvl w:ilvl="0">
      <w:lvlJc w:val="left"/>
      <w:lvlText w:val="%1"/>
      <w:numFmt w:val="decimal"/>
      <w:start w:val="2"/>
    </w:lvl>
    <w:lvl w:ilvl="1">
      <w:lvlJc w:val="left"/>
      <w:lvlText w:val="%2."/>
      <w:numFmt w:val="decimal"/>
      <w:start w:val="1"/>
    </w:lvl>
  </w:abstractNum>
  <w:abstractNum w:abstractNumId="1">
    <w:nsid w:val="2BF82399"/>
    <w:multiLevelType w:val="hybridMultilevel"/>
    <w:lvl w:ilvl="0">
      <w:lvlJc w:val="left"/>
      <w:lvlText w:val="%1"/>
      <w:numFmt w:val="decimal"/>
      <w:start w:val="2"/>
    </w:lvl>
  </w:abstractNum>
  <w:abstractNum w:abstractNumId="2">
    <w:nsid w:val="54D84495"/>
    <w:multiLevelType w:val="hybridMultilevel"/>
    <w:lvl w:ilvl="0">
      <w:lvlJc w:val="left"/>
      <w:lvlText w:val="%1"/>
      <w:numFmt w:val="decimal"/>
      <w:start w:val="2"/>
    </w:lvl>
  </w:abstractNum>
  <w:abstractNum w:abstractNumId="3">
    <w:nsid w:val="162F2469"/>
    <w:multiLevelType w:val="hybridMultilevel"/>
    <w:lvl w:ilvl="0">
      <w:lvlJc w:val="left"/>
      <w:lvlText w:val="%1"/>
      <w:numFmt w:val="decimal"/>
      <w:start w:val="2"/>
    </w:lvl>
  </w:abstractNum>
  <w:abstractNum w:abstractNumId="4">
    <w:nsid w:val="64A2237E"/>
    <w:multiLevelType w:val="hybridMultilevel"/>
    <w:lvl w:ilvl="0">
      <w:lvlJc w:val="left"/>
      <w:lvlText w:val="%1"/>
      <w:numFmt w:val="decimal"/>
      <w:start w:val="2"/>
    </w:lvl>
  </w:abstractNum>
  <w:abstractNum w:abstractNumId="5">
    <w:nsid w:val="676713DA"/>
    <w:multiLevelType w:val="hybridMultilevel"/>
    <w:lvl w:ilvl="0">
      <w:lvlJc w:val="left"/>
      <w:lvlText w:val="%1"/>
      <w:numFmt w:val="decimal"/>
      <w:start w:val="2"/>
    </w:lvl>
  </w:abstractNum>
  <w:abstractNum w:abstractNumId="6">
    <w:nsid w:val="42C4946A"/>
    <w:multiLevelType w:val="hybridMultilevel"/>
    <w:lvl w:ilvl="0">
      <w:lvlJc w:val="left"/>
      <w:lvlText w:val="%1"/>
      <w:numFmt w:val="decimal"/>
      <w:start w:val="2"/>
    </w:lvl>
  </w:abstractNum>
  <w:abstractNum w:abstractNumId="7">
    <w:nsid w:val="6F7A32E7"/>
    <w:multiLevelType w:val="hybridMultilevel"/>
    <w:lvl w:ilvl="0">
      <w:lvlJc w:val="left"/>
      <w:lvlText w:val="%1"/>
      <w:numFmt w:val="decimal"/>
      <w:start w:val="2"/>
    </w:lvl>
  </w:abstractNum>
  <w:abstractNum w:abstractNumId="8">
    <w:nsid w:val="6F24E98F"/>
    <w:multiLevelType w:val="hybridMultilevel"/>
    <w:lvl w:ilvl="0">
      <w:lvlJc w:val="left"/>
      <w:lvlText w:val="%1"/>
      <w:numFmt w:val="decimal"/>
      <w:start w:val="2"/>
    </w:lvl>
  </w:abstractNum>
  <w:abstractNum w:abstractNumId="9">
    <w:nsid w:val="16043E71"/>
    <w:multiLevelType w:val="hybridMultilevel"/>
    <w:lvl w:ilvl="0">
      <w:lvlJc w:val="left"/>
      <w:lvlText w:val="-"/>
      <w:numFmt w:val="bullet"/>
      <w:start w:val="1"/>
    </w:lvl>
  </w:abstractNum>
  <w:abstractNum w:abstractNumId="10">
    <w:nsid w:val="77C65AC9"/>
    <w:multiLevelType w:val="hybridMultilevel"/>
    <w:lvl w:ilvl="0">
      <w:lvlJc w:val="left"/>
      <w:lvlText w:val="%1"/>
      <w:numFmt w:val="decimal"/>
      <w:start w:val="2"/>
    </w:lvl>
  </w:abstractNum>
  <w:abstractNum w:abstractNumId="11">
    <w:nsid w:val="5C1291F6"/>
    <w:multiLevelType w:val="hybridMultilevel"/>
    <w:lvl w:ilvl="0">
      <w:lvlJc w:val="left"/>
      <w:lvlText w:val="%1"/>
      <w:numFmt w:val="decimal"/>
      <w:start w:val="2"/>
    </w:lvl>
  </w:abstractNum>
  <w:abstractNum w:abstractNumId="12">
    <w:nsid w:val="261A241E"/>
    <w:multiLevelType w:val="hybridMultilevel"/>
    <w:lvl w:ilvl="0">
      <w:lvlJc w:val="left"/>
      <w:lvlText w:val="*"/>
      <w:numFmt w:val="bullet"/>
      <w:start w:val="1"/>
    </w:lvl>
  </w:abstractNum>
  <w:abstractNum w:abstractNumId="13">
    <w:nsid w:val="70E5554C"/>
    <w:multiLevelType w:val="hybridMultilevel"/>
    <w:lvl w:ilvl="0">
      <w:lvlJc w:val="left"/>
      <w:lvlText w:val="%1"/>
      <w:numFmt w:val="decimal"/>
      <w:start w:val="2"/>
    </w:lvl>
  </w:abstractNum>
  <w:abstractNum w:abstractNumId="14">
    <w:nsid w:val="7E56D7AE"/>
    <w:multiLevelType w:val="hybridMultilevel"/>
    <w:lvl w:ilvl="0">
      <w:lvlJc w:val="left"/>
      <w:lvlText w:val="%1"/>
      <w:numFmt w:val="decimal"/>
      <w:start w:val="2"/>
    </w:lvl>
  </w:abstractNum>
  <w:abstractNum w:abstractNumId="15">
    <w:nsid w:val="40F5ED26"/>
    <w:multiLevelType w:val="hybridMultilevel"/>
    <w:lvl w:ilvl="0">
      <w:lvlJc w:val="left"/>
      <w:lvlText w:val="%1"/>
      <w:numFmt w:val="decimal"/>
      <w:start w:val="2"/>
    </w:lvl>
  </w:abstractNum>
  <w:abstractNum w:abstractNumId="16">
    <w:nsid w:val="1E6C421"/>
    <w:multiLevelType w:val="hybridMultilevel"/>
    <w:lvl w:ilvl="0">
      <w:lvlJc w:val="left"/>
      <w:lvlText w:val="%1"/>
      <w:numFmt w:val="decimal"/>
      <w:start w:val="2"/>
    </w:lvl>
  </w:abstractNum>
  <w:abstractNum w:abstractNumId="17">
    <w:nsid w:val="362042A4"/>
    <w:multiLevelType w:val="hybridMultilevel"/>
    <w:lvl w:ilvl="0">
      <w:lvlJc w:val="left"/>
      <w:lvlText w:val="%1"/>
      <w:numFmt w:val="decimal"/>
      <w:start w:val="2"/>
    </w:lvl>
  </w:abstractNum>
  <w:abstractNum w:abstractNumId="18">
    <w:nsid w:val="186DE7B1"/>
    <w:multiLevelType w:val="hybridMultilevel"/>
    <w:lvl w:ilvl="0">
      <w:lvlJc w:val="left"/>
      <w:lvlText w:val="%1"/>
      <w:numFmt w:val="decimal"/>
      <w:start w:val="2"/>
    </w:lvl>
  </w:abstractNum>
  <w:abstractNum w:abstractNumId="19">
    <w:nsid w:val="60AF71D5"/>
    <w:multiLevelType w:val="hybridMultilevel"/>
    <w:lvl w:ilvl="0">
      <w:lvlJc w:val="left"/>
      <w:lvlText w:val="%1"/>
      <w:numFmt w:val="decimal"/>
      <w:start w:val="2"/>
    </w:lvl>
  </w:abstractNum>
  <w:abstractNum w:abstractNumId="20">
    <w:nsid w:val="406397F4"/>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2023-04-28T13:48:49Z</dcterms:created>
  <dcterms:modified xsi:type="dcterms:W3CDTF">2023-04-28T13:48:49Z</dcterms:modified>
</cp:coreProperties>
</file>